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tabs>
          <w:tab w:val="left" w:pos="720" w:leader="none"/>
        </w:tabs>
        <w:spacing w:lineRule="auto" w:line="276" w:before="0" w:after="200"/>
        <w:ind w:left="720" w:hanging="720"/>
        <w:contextualSpacing/>
        <w:jc w:val="right"/>
        <w:rPr>
          <w:rFonts w:eastAsia="Calibri"/>
          <w:b/>
          <w:b/>
          <w:i/>
          <w:i/>
          <w:sz w:val="26"/>
          <w:szCs w:val="26"/>
          <w:lang w:eastAsia="en-US"/>
        </w:rPr>
      </w:pPr>
      <w:r>
        <w:rPr>
          <w:rFonts w:eastAsia="Calibri"/>
          <w:b/>
          <w:i/>
          <w:sz w:val="26"/>
          <w:szCs w:val="26"/>
          <w:lang w:eastAsia="en-US"/>
        </w:rPr>
      </w:r>
    </w:p>
    <w:p>
      <w:pPr>
        <w:pStyle w:val="Normal"/>
        <w:keepNext w:val="true"/>
        <w:keepLines/>
        <w:jc w:val="right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(требования к продукции) 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spacing w:lineRule="auto" w:line="276"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spacing w:lineRule="auto" w:line="276"/>
        <w:jc w:val="center"/>
        <w:rPr>
          <w:rFonts w:eastAsia="Calibri"/>
          <w:b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</w:r>
    </w:p>
    <w:p>
      <w:pPr>
        <w:pStyle w:val="Normal"/>
        <w:spacing w:lineRule="auto" w:line="276"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jc w:val="center"/>
        <w:rPr>
          <w:bCs/>
          <w:iCs/>
        </w:rPr>
      </w:pPr>
      <w:r>
        <w:rPr>
          <w:bCs/>
          <w:iCs/>
          <w:sz w:val="26"/>
          <w:szCs w:val="26"/>
        </w:rPr>
        <w:t xml:space="preserve">«ОКПД2 42.22.12.111. Выполнение строительно-монтажных работ (включая поставку материалов) по реконструкции ВЛ-0,4/10 кВ г.Зеи и Зейского района на территории обслуживания структурного подразделения "Северные электрические сети" в рамках выполнения инвестиционного проекта: </w:t>
      </w:r>
      <w:r>
        <w:rPr>
          <w:bCs/>
          <w:iCs/>
          <w:sz w:val="26"/>
          <w:szCs w:val="26"/>
          <w:lang w:val="en-US"/>
        </w:rPr>
        <w:t>J</w:t>
      </w:r>
      <w:r>
        <w:rPr>
          <w:bCs/>
          <w:iCs/>
          <w:sz w:val="26"/>
          <w:szCs w:val="26"/>
        </w:rPr>
        <w:t>_28-АЭС-</w:t>
      </w:r>
      <w:r>
        <w:rPr>
          <w:bCs/>
          <w:iCs/>
          <w:sz w:val="26"/>
          <w:szCs w:val="26"/>
          <w:lang w:val="en-US"/>
        </w:rPr>
        <w:t>C</w:t>
      </w:r>
      <w:r>
        <w:rPr>
          <w:bCs/>
          <w:iCs/>
          <w:sz w:val="26"/>
          <w:szCs w:val="26"/>
        </w:rPr>
        <w:t>-11.7, М_28-АЭС-11.8 филиала "Амурские электрические сети"»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spacing w:lineRule="auto" w:line="276"/>
        <w:jc w:val="center"/>
        <w:rPr>
          <w:szCs w:val="24"/>
          <w:u w:val="single"/>
        </w:rPr>
      </w:pPr>
      <w:r>
        <w:rPr>
          <w:rFonts w:eastAsia="Calibri"/>
          <w:b/>
          <w:sz w:val="26"/>
          <w:szCs w:val="26"/>
        </w:rPr>
        <w:t xml:space="preserve">Лот № </w:t>
      </w:r>
      <w:r>
        <w:rPr>
          <w:rFonts w:eastAsia="Calibri"/>
          <w:b/>
          <w:sz w:val="26"/>
          <w:szCs w:val="26"/>
          <w:u w:val="single"/>
        </w:rPr>
        <w:t>26301-ТПИР ОБСЛ-2024-ДРСК-АЭС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keepNext w:val="true"/>
        <w:keepLines/>
        <w:jc w:val="center"/>
        <w:rPr/>
      </w:pPr>
      <w:r>
        <w:rPr>
          <w:rFonts w:eastAsia="Calibri"/>
          <w:b/>
          <w:sz w:val="24"/>
          <w:szCs w:val="24"/>
        </w:rPr>
        <w:t xml:space="preserve">СОДЕРЖАНИЕ </w:t>
      </w:r>
    </w:p>
    <w:p>
      <w:pPr>
        <w:pStyle w:val="16"/>
        <w:tabs>
          <w:tab w:val="left" w:pos="560" w:leader="none"/>
          <w:tab w:val="right" w:pos="9911" w:leader="dot"/>
        </w:tabs>
        <w:rPr>
          <w:rFonts w:cs="Calibri" w:cstheme="minorHAnsi"/>
          <w:b w:val="false"/>
          <w:b w:val="false"/>
          <w:bCs w:val="false"/>
        </w:rPr>
      </w:pPr>
      <w:r>
        <w:fldChar w:fldCharType="begin"/>
      </w:r>
      <w:r>
        <w:instrText> TOC \z \o "1-4" \u \h</w:instrText>
      </w:r>
      <w:r>
        <w:fldChar w:fldCharType="separate"/>
      </w:r>
      <w:hyperlink w:anchor="_Toc54643121">
        <w:r>
          <w:rPr>
            <w:webHidden/>
            <w:rStyle w:val="Style25"/>
            <w:rFonts w:cs="Calibri" w:cstheme="minorHAnsi"/>
            <w:b w:val="false"/>
            <w:bCs w:val="false"/>
            <w:vanish w:val="false"/>
          </w:rPr>
          <w:t>1.</w:t>
          <w:tab/>
          <w:t>Общие сведения</w:t>
          <w:tab/>
        </w:r>
      </w:hyperlink>
      <w:r>
        <w:rPr/>
        <w:t>3</w:t>
      </w:r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>
          <w:sz w:val="24"/>
          <w:szCs w:val="24"/>
        </w:rPr>
      </w:pPr>
      <w:hyperlink w:anchor="_Toc54643122">
        <w:r>
          <w:rPr>
            <w:webHidden/>
          </w:rPr>
          <w:fldChar w:fldCharType="begin"/>
        </w:r>
        <w:r>
          <w:rPr>
            <w:webHidden/>
          </w:rPr>
          <w:instrText>PAGEREF _Toc54643122 \h</w:instrText>
        </w:r>
        <w:r>
          <w:rPr>
            <w:webHidden/>
          </w:rPr>
          <w:fldChar w:fldCharType="separate"/>
        </w:r>
        <w:r>
          <w:rPr>
            <w:webHidden/>
            <w:rStyle w:val="Style25"/>
            <w:vanish w:val="false"/>
            <w:sz w:val="24"/>
            <w:szCs w:val="24"/>
          </w:rPr>
          <w:t>1.1.</w:t>
          <w:tab/>
          <w:t>Обозначения и сокращения</w:t>
          <w:tab/>
        </w:r>
        <w:r>
          <w:rPr>
            <w:webHidden/>
          </w:rPr>
          <w:fldChar w:fldCharType="end"/>
        </w:r>
      </w:hyperlink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>
          <w:sz w:val="24"/>
          <w:szCs w:val="24"/>
        </w:rPr>
      </w:pPr>
      <w:hyperlink w:anchor="_Toc54643123">
        <w:r>
          <w:rPr>
            <w:webHidden/>
          </w:rPr>
          <w:fldChar w:fldCharType="begin"/>
        </w:r>
        <w:r>
          <w:rPr>
            <w:webHidden/>
          </w:rPr>
          <w:instrText>PAGEREF _Toc54643123 \h</w:instrText>
        </w:r>
        <w:r>
          <w:rPr>
            <w:webHidden/>
          </w:rPr>
          <w:fldChar w:fldCharType="separate"/>
        </w:r>
        <w:r>
          <w:rPr>
            <w:webHidden/>
            <w:rStyle w:val="Style25"/>
            <w:vanish w:val="false"/>
            <w:sz w:val="24"/>
            <w:szCs w:val="24"/>
          </w:rPr>
          <w:t>1.2.</w:t>
          <w:tab/>
          <w:t>Наименование закупаемой продукции</w:t>
          <w:tab/>
        </w:r>
        <w:r>
          <w:rPr>
            <w:webHidden/>
          </w:rPr>
          <w:fldChar w:fldCharType="end"/>
        </w:r>
      </w:hyperlink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>
          <w:sz w:val="24"/>
          <w:szCs w:val="24"/>
        </w:rPr>
      </w:pPr>
      <w:hyperlink w:anchor="_Toc54643124">
        <w:r>
          <w:rPr>
            <w:webHidden/>
            <w:rStyle w:val="Style25"/>
            <w:vanish w:val="false"/>
            <w:sz w:val="24"/>
            <w:szCs w:val="24"/>
          </w:rPr>
          <w:t>1.3.</w:t>
          <w:tab/>
          <w:t xml:space="preserve">Цель выполнения работ </w:t>
        </w:r>
        <w:r>
          <w:rPr>
            <w:rStyle w:val="Style25"/>
            <w:i/>
            <w:sz w:val="24"/>
            <w:szCs w:val="24"/>
          </w:rPr>
          <w:t>[Опциональный раздел]</w:t>
        </w:r>
        <w:r>
          <w:rPr>
            <w:webHidden/>
          </w:rPr>
          <w:fldChar w:fldCharType="begin"/>
        </w:r>
        <w:r>
          <w:rPr>
            <w:webHidden/>
          </w:rPr>
          <w:instrText>PAGEREF _Toc54643124 \h</w:instrText>
        </w:r>
        <w:r>
          <w:rPr>
            <w:webHidden/>
          </w:rPr>
          <w:fldChar w:fldCharType="separate"/>
        </w:r>
        <w:r>
          <w:rPr>
            <w:rStyle w:val="Style25"/>
            <w:sz w:val="24"/>
            <w:szCs w:val="24"/>
          </w:rPr>
          <w:tab/>
        </w:r>
        <w:r>
          <w:rPr>
            <w:webHidden/>
          </w:rPr>
          <w:fldChar w:fldCharType="end"/>
        </w:r>
      </w:hyperlink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hyperlink w:anchor="_Toc54643125">
        <w:r>
          <w:rPr>
            <w:webHidden/>
            <w:rStyle w:val="Style25"/>
            <w:vanish w:val="false"/>
            <w:sz w:val="24"/>
            <w:szCs w:val="24"/>
          </w:rPr>
          <w:t>1.4.</w:t>
          <w:tab/>
          <w:t>Существующее положение</w:t>
        </w:r>
        <w:r>
          <w:rPr>
            <w:rStyle w:val="Style25"/>
            <w:i/>
            <w:sz w:val="24"/>
            <w:szCs w:val="24"/>
          </w:rPr>
          <w:t xml:space="preserve"> [Опциональный раздел]</w:t>
        </w:r>
        <w:r>
          <w:rPr>
            <w:webHidden/>
          </w:rPr>
          <w:fldChar w:fldCharType="begin"/>
        </w:r>
        <w:r>
          <w:rPr>
            <w:webHidden/>
          </w:rPr>
          <w:instrText>PAGEREF _Toc54643125 \h</w:instrText>
        </w:r>
        <w:r>
          <w:rPr>
            <w:webHidden/>
          </w:rPr>
          <w:fldChar w:fldCharType="separate"/>
        </w:r>
        <w:r>
          <w:rPr>
            <w:rStyle w:val="Style25"/>
            <w:sz w:val="24"/>
            <w:szCs w:val="24"/>
          </w:rPr>
          <w:tab/>
        </w:r>
        <w:r>
          <w:rPr>
            <w:webHidden/>
          </w:rPr>
          <w:fldChar w:fldCharType="end"/>
        </w:r>
      </w:hyperlink>
    </w:p>
    <w:p>
      <w:pPr>
        <w:pStyle w:val="16"/>
        <w:tabs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</w:rPr>
      </w:pPr>
      <w:hyperlink w:anchor="_Toc54643126">
        <w:r>
          <w:rPr>
            <w:webHidden/>
            <w:rStyle w:val="Style25"/>
            <w:vanish w:val="false"/>
          </w:rPr>
          <w:t>Таблица 1. Перечень объектов заказчика</w:t>
          <w:tab/>
        </w:r>
      </w:hyperlink>
      <w:r>
        <w:rPr/>
        <w:t>4</w:t>
      </w:r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r>
        <w:rPr>
          <w:rFonts w:eastAsia="新細明體" w:cs="Arial" w:cstheme="minorBidi" w:eastAsiaTheme="minorEastAsia" w:ascii="Calibri" w:hAnsi="Calibri"/>
          <w:sz w:val="24"/>
          <w:szCs w:val="24"/>
        </w:rPr>
      </w:r>
    </w:p>
    <w:p>
      <w:pPr>
        <w:pStyle w:val="16"/>
        <w:tabs>
          <w:tab w:val="left" w:pos="56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</w:rPr>
      </w:pPr>
      <w:hyperlink w:anchor="_Toc54643129">
        <w:r>
          <w:rPr>
            <w:webHidden/>
            <w:rStyle w:val="Style25"/>
            <w:vanish w:val="false"/>
          </w:rPr>
          <w:t>2.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b w:val="false"/>
            <w:bCs w:val="false"/>
          </w:rPr>
          <w:tab/>
        </w:r>
        <w:r>
          <w:rPr>
            <w:rStyle w:val="Style25"/>
          </w:rPr>
          <w:t>Требования к продукции</w:t>
          <w:tab/>
        </w:r>
      </w:hyperlink>
      <w:r>
        <w:rPr/>
        <w:t>5</w:t>
      </w:r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hyperlink w:anchor="_Toc54643130">
        <w:r>
          <w:rPr>
            <w:webHidden/>
            <w:rStyle w:val="Style25"/>
            <w:iCs/>
            <w:vanish w:val="false"/>
            <w:sz w:val="24"/>
            <w:szCs w:val="24"/>
          </w:rPr>
          <w:t>2.1.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sz w:val="24"/>
            <w:szCs w:val="24"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_Toc54643130 \h</w:instrText>
        </w:r>
        <w:r>
          <w:rPr>
            <w:webHidden/>
          </w:rPr>
          <w:fldChar w:fldCharType="separate"/>
        </w:r>
        <w:r>
          <w:rPr>
            <w:rStyle w:val="Style25"/>
            <w:sz w:val="24"/>
            <w:szCs w:val="24"/>
          </w:rPr>
          <w:t>Требования к объемам и срокам выполнения работ</w:t>
          <w:tab/>
        </w:r>
        <w:r>
          <w:rPr>
            <w:webHidden/>
          </w:rPr>
          <w:fldChar w:fldCharType="end"/>
        </w:r>
      </w:hyperlink>
    </w:p>
    <w:p>
      <w:pPr>
        <w:pStyle w:val="35"/>
        <w:ind w:left="0" w:hanging="0"/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hyperlink w:anchor="_Toc54643131">
        <w:r>
          <w:rPr>
            <w:webHidden/>
            <w:rStyle w:val="Style25"/>
            <w:vanish w:val="false"/>
            <w:sz w:val="24"/>
            <w:szCs w:val="24"/>
          </w:rPr>
          <w:t>2.1.1.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sz w:val="24"/>
            <w:szCs w:val="24"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_Toc54643131 \h</w:instrText>
        </w:r>
        <w:r>
          <w:rPr>
            <w:webHidden/>
          </w:rPr>
          <w:fldChar w:fldCharType="separate"/>
        </w:r>
        <w:r>
          <w:rPr>
            <w:rStyle w:val="Style25"/>
            <w:sz w:val="24"/>
            <w:szCs w:val="24"/>
          </w:rPr>
          <w:t>Требования к видам и объемам работ</w:t>
          <w:tab/>
        </w:r>
        <w:r>
          <w:rPr>
            <w:webHidden/>
          </w:rPr>
          <w:fldChar w:fldCharType="end"/>
        </w:r>
      </w:hyperlink>
    </w:p>
    <w:p>
      <w:pPr>
        <w:pStyle w:val="16"/>
        <w:tabs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</w:rPr>
      </w:pPr>
      <w:hyperlink w:anchor="_Toc54643132">
        <w:r>
          <w:rPr>
            <w:webHidden/>
            <w:rStyle w:val="Style25"/>
            <w:vanish w:val="false"/>
          </w:rPr>
          <w:t>Таблица 2. Перечень и объем выполняемых работ</w:t>
          <w:tab/>
        </w:r>
      </w:hyperlink>
      <w:r>
        <w:rPr/>
        <w:t>5</w:t>
      </w:r>
    </w:p>
    <w:p>
      <w:pPr>
        <w:pStyle w:val="35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35"/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hyperlink w:anchor="_Toc54643133">
        <w:r>
          <w:rPr>
            <w:webHidden/>
            <w:rStyle w:val="Style25"/>
            <w:vanish w:val="false"/>
            <w:sz w:val="24"/>
            <w:szCs w:val="24"/>
          </w:rPr>
          <w:t>2.1.2.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sz w:val="24"/>
            <w:szCs w:val="24"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_Toc54643133 \h</w:instrText>
        </w:r>
        <w:r>
          <w:rPr>
            <w:webHidden/>
          </w:rPr>
          <w:fldChar w:fldCharType="separate"/>
        </w:r>
        <w:r>
          <w:rPr>
            <w:rStyle w:val="Style25"/>
            <w:sz w:val="24"/>
            <w:szCs w:val="24"/>
          </w:rPr>
          <w:t>Требования к срокам выполнения работ</w:t>
          <w:tab/>
        </w:r>
        <w:r>
          <w:rPr>
            <w:webHidden/>
          </w:rPr>
          <w:fldChar w:fldCharType="end"/>
        </w:r>
      </w:hyperlink>
    </w:p>
    <w:p>
      <w:pPr>
        <w:pStyle w:val="16"/>
        <w:tabs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</w:rPr>
      </w:pPr>
      <w:hyperlink w:anchor="_Toc54643134">
        <w:r>
          <w:rPr>
            <w:webHidden/>
            <w:rStyle w:val="Style25"/>
            <w:vanish w:val="false"/>
          </w:rPr>
          <w:t>Таблица 3. Требования по срокам выполнения работ</w:t>
          <w:tab/>
        </w:r>
      </w:hyperlink>
      <w:r>
        <w:rPr/>
        <w:t>5</w:t>
      </w:r>
    </w:p>
    <w:p>
      <w:pPr>
        <w:pStyle w:val="42"/>
        <w:tabs>
          <w:tab w:val="left" w:pos="1400" w:leader="none"/>
          <w:tab w:val="right" w:pos="9911" w:leader="dot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2"/>
        <w:tabs>
          <w:tab w:val="left" w:pos="140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hyperlink w:anchor="_Toc54643135">
        <w:r>
          <w:rPr>
            <w:webHidden/>
            <w:rStyle w:val="Style25"/>
            <w:iCs/>
            <w:vanish w:val="false"/>
            <w:sz w:val="24"/>
            <w:szCs w:val="24"/>
          </w:rPr>
          <w:t>2.2.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sz w:val="24"/>
            <w:szCs w:val="24"/>
          </w:rPr>
          <w:tab/>
        </w:r>
        <w:r>
          <w:rPr>
            <w:rStyle w:val="Style25"/>
            <w:sz w:val="24"/>
            <w:szCs w:val="24"/>
          </w:rPr>
          <w:t>Требования к качеству работ</w:t>
          <w:tab/>
        </w:r>
      </w:hyperlink>
      <w:r>
        <w:rPr>
          <w:sz w:val="24"/>
          <w:szCs w:val="24"/>
        </w:rPr>
        <w:t>5</w:t>
      </w:r>
    </w:p>
    <w:p>
      <w:pPr>
        <w:pStyle w:val="16"/>
        <w:tabs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</w:rPr>
      </w:pPr>
      <w:hyperlink w:anchor="_Toc54643136">
        <w:r>
          <w:rPr>
            <w:webHidden/>
            <w:rStyle w:val="Style25"/>
            <w:vanish w:val="false"/>
          </w:rPr>
          <w:t>Таблица 4. Требования к качеству работ</w:t>
          <w:tab/>
        </w:r>
      </w:hyperlink>
      <w:r>
        <w:rPr/>
        <w:t>6</w:t>
      </w:r>
    </w:p>
    <w:p>
      <w:pPr>
        <w:pStyle w:val="16"/>
        <w:tabs>
          <w:tab w:val="left" w:pos="56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</w:rPr>
      </w:pPr>
      <w:hyperlink w:anchor="_Toc54643137">
        <w:r>
          <w:rPr>
            <w:webHidden/>
            <w:rStyle w:val="Style25"/>
            <w:vanish w:val="false"/>
          </w:rPr>
          <w:t>3.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b w:val="false"/>
            <w:bCs w:val="false"/>
          </w:rPr>
          <w:tab/>
        </w:r>
        <w:r>
          <w:rPr>
            <w:rStyle w:val="Style25"/>
          </w:rPr>
          <w:t>Требования к документации по ценообразованию на этапе закупки</w:t>
          <w:tab/>
        </w:r>
      </w:hyperlink>
      <w:r>
        <w:rPr/>
        <w:t>11</w:t>
      </w:r>
    </w:p>
    <w:p>
      <w:pPr>
        <w:pStyle w:val="16"/>
        <w:tabs>
          <w:tab w:val="left" w:pos="56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</w:rPr>
      </w:pPr>
      <w:hyperlink w:anchor="_Toc54643138">
        <w:r>
          <w:rPr>
            <w:webHidden/>
            <w:rStyle w:val="Style25"/>
            <w:vanish w:val="false"/>
          </w:rPr>
          <w:t>4.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b w:val="false"/>
            <w:bCs w:val="false"/>
          </w:rPr>
          <w:tab/>
        </w:r>
        <w:r>
          <w:rPr>
            <w:rStyle w:val="Style25"/>
          </w:rPr>
          <w:t>Требования к документации по ценообразованию на этапе заключения (исполнения) договора</w:t>
          <w:tab/>
        </w:r>
      </w:hyperlink>
      <w:r>
        <w:rPr/>
        <w:t>11</w:t>
      </w:r>
    </w:p>
    <w:p>
      <w:pPr>
        <w:pStyle w:val="16"/>
        <w:tabs>
          <w:tab w:val="left" w:pos="56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</w:rPr>
      </w:pPr>
      <w:hyperlink w:anchor="_Toc54643139">
        <w:r>
          <w:rPr>
            <w:webHidden/>
            <w:rStyle w:val="Style25"/>
            <w:vanish w:val="false"/>
          </w:rPr>
          <w:t>5.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b w:val="false"/>
            <w:bCs w:val="false"/>
          </w:rPr>
          <w:tab/>
        </w:r>
        <w:r>
          <w:rPr>
            <w:rStyle w:val="Style25"/>
          </w:rPr>
          <w:t>Приложения</w:t>
          <w:tab/>
        </w:r>
      </w:hyperlink>
      <w:r>
        <w:rPr/>
        <w:t>11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tabs>
          <w:tab w:val="left" w:pos="1236" w:leader="none"/>
        </w:tabs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2"/>
        <w:numPr>
          <w:ilvl w:val="0"/>
          <w:numId w:val="3"/>
        </w:numPr>
        <w:ind w:left="0" w:firstLine="567"/>
        <w:rPr>
          <w:b/>
          <w:b/>
          <w:i/>
          <w:i/>
        </w:rPr>
      </w:pPr>
      <w:r>
        <w:rPr>
          <w:b/>
        </w:rPr>
        <w:t>Общие сведения</w:t>
      </w:r>
      <w:r>
        <w:rPr>
          <w:b/>
          <w:i/>
        </w:rPr>
        <w:t xml:space="preserve"> </w:t>
      </w:r>
      <w:r>
        <w:fldChar w:fldCharType="end"/>
      </w:r>
    </w:p>
    <w:p>
      <w:pPr>
        <w:pStyle w:val="ListParagraph"/>
        <w:numPr>
          <w:ilvl w:val="1"/>
          <w:numId w:val="2"/>
        </w:numPr>
        <w:rPr>
          <w:b/>
          <w:b/>
        </w:rPr>
      </w:pPr>
      <w:r>
        <w:rPr>
          <w:b/>
        </w:rPr>
        <w:t xml:space="preserve"> </w:t>
      </w:r>
      <w:r>
        <w:rPr>
          <w:b/>
        </w:rPr>
        <w:t>Обозначения и сокращения:</w:t>
      </w:r>
    </w:p>
    <w:p>
      <w:pPr>
        <w:pStyle w:val="ListParagraph"/>
        <w:ind w:left="360" w:hanging="0"/>
        <w:rPr>
          <w:b/>
          <w:b/>
        </w:rPr>
      </w:pPr>
      <w:r>
        <w:rPr>
          <w:b/>
        </w:rPr>
      </w:r>
    </w:p>
    <w:tbl>
      <w:tblPr>
        <w:tblW w:w="9783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Воздушная линия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Государственный стандарт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ЕГРН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Единый государственный реестр недвижимости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Ед.изм.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ЗУ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земельный участок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ИРД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исходно-разрешительная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кВ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напряжения киловольт</w:t>
            </w:r>
          </w:p>
        </w:tc>
      </w:tr>
      <w:tr>
        <w:trPr>
          <w:trHeight w:val="345" w:hRule="atLeast"/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кВт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мощности киловатт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КЛ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кабельная линия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Кол-во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количество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КПТ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кадастровый план территории;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ЛСР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локальный сметный расчет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ЛЭП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линия электропередач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мм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в миллиметрах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Муниципальное образование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НПА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нормативно-правовой акт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нормативно-техническая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Проектная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ПОТЭЭУ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Правила по охране турда при эксплуатации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подстанция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ПСД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Проектно-сметная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ПУД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правоустанавливающий документ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Правила устройства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РФ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Российская Федерация;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рабочая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РТП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распределительный трансформаторный пункт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РЭС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районные электрические сети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Распределительное устройство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см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единица измерения в сантиметрах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СВ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Секционный выключатель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струтурное подразделение филиала АО “ДРСК”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Свод правил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СПиП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саморегулируемая организация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тн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единица измерения в тоннах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Трансформаторная подстанция / трансформаторный пункт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ТЗ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Техническое задание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Технические условия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шт.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в штуках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ЭПУ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bookmarkStart w:id="0" w:name="_Toc54646397"/>
            <w:bookmarkStart w:id="1" w:name="_Toc46743506"/>
            <w:bookmarkEnd w:id="0"/>
            <w:bookmarkEnd w:id="1"/>
            <w:r>
              <w:rPr>
                <w:color w:val="2D2D2D"/>
                <w:spacing w:val="2"/>
                <w:sz w:val="22"/>
                <w:szCs w:val="22"/>
              </w:rPr>
              <w:t>Энерго-принимающее устройство</w:t>
            </w:r>
          </w:p>
        </w:tc>
      </w:tr>
    </w:tbl>
    <w:p>
      <w:pPr>
        <w:pStyle w:val="4"/>
        <w:numPr>
          <w:ilvl w:val="0"/>
          <w:numId w:val="0"/>
        </w:numPr>
        <w:ind w:left="360" w:firstLine="567"/>
        <w:rPr>
          <w:b/>
          <w:b/>
        </w:rPr>
      </w:pPr>
      <w:r>
        <w:rPr>
          <w:b/>
        </w:rPr>
      </w:r>
    </w:p>
    <w:p>
      <w:pPr>
        <w:pStyle w:val="4"/>
        <w:numPr>
          <w:ilvl w:val="1"/>
          <w:numId w:val="2"/>
        </w:numPr>
        <w:rPr>
          <w:b/>
          <w:b/>
        </w:rPr>
      </w:pPr>
      <w:r>
        <w:rPr>
          <w:b/>
        </w:rPr>
        <w:t xml:space="preserve"> </w:t>
      </w:r>
      <w:r>
        <w:rPr>
          <w:b/>
        </w:rPr>
        <w:t>Наименование закупаемой продукции (выполняемых работ)</w:t>
      </w:r>
    </w:p>
    <w:p>
      <w:pPr>
        <w:pStyle w:val="Normal"/>
        <w:jc w:val="both"/>
        <w:rPr>
          <w:bCs/>
          <w:iCs/>
        </w:rPr>
      </w:pPr>
      <w:bookmarkStart w:id="2" w:name="_Toc46743507"/>
      <w:bookmarkStart w:id="3" w:name="_Toc54646398"/>
      <w:bookmarkEnd w:id="3"/>
      <w:r>
        <w:rPr>
          <w:bCs/>
          <w:iCs/>
          <w:sz w:val="26"/>
          <w:szCs w:val="26"/>
        </w:rPr>
        <w:t xml:space="preserve">«ОКПД2 42.22.12.111. Выполнение строительно-монтажных работ (включая поставку материалов) по реконструкции ВЛ-0,4/10 кВ г.Зеи и Зейского района на территории обслуживания структурного подразделения "Северные электрические сети" в рамках выполнения инвестиционного проекта: </w:t>
      </w:r>
      <w:r>
        <w:rPr>
          <w:bCs/>
          <w:iCs/>
          <w:sz w:val="26"/>
          <w:szCs w:val="26"/>
          <w:lang w:val="en-US"/>
        </w:rPr>
        <w:t>J</w:t>
      </w:r>
      <w:r>
        <w:rPr>
          <w:bCs/>
          <w:iCs/>
          <w:sz w:val="26"/>
          <w:szCs w:val="26"/>
        </w:rPr>
        <w:t>_28-АЭС-</w:t>
      </w:r>
      <w:r>
        <w:rPr>
          <w:bCs/>
          <w:iCs/>
          <w:sz w:val="26"/>
          <w:szCs w:val="26"/>
          <w:lang w:val="en-US"/>
        </w:rPr>
        <w:t>C</w:t>
      </w:r>
      <w:r>
        <w:rPr>
          <w:bCs/>
          <w:iCs/>
          <w:sz w:val="26"/>
          <w:szCs w:val="26"/>
        </w:rPr>
        <w:t>-11.7, М_28-АЭС-11.8 филиала "Амурские электрические сети"»</w:t>
      </w:r>
    </w:p>
    <w:p>
      <w:pPr>
        <w:pStyle w:val="Normal"/>
        <w:widowControl w:val="false"/>
        <w:tabs>
          <w:tab w:val="left" w:pos="426" w:leader="none"/>
        </w:tabs>
        <w:spacing w:before="120" w:after="120"/>
        <w:rPr/>
      </w:pPr>
      <w:r>
        <w:rPr/>
      </w:r>
    </w:p>
    <w:p>
      <w:pPr>
        <w:pStyle w:val="Normal"/>
        <w:widowControl w:val="false"/>
        <w:tabs>
          <w:tab w:val="left" w:pos="426" w:leader="none"/>
        </w:tabs>
        <w:spacing w:before="120" w:after="120"/>
        <w:rPr/>
      </w:pPr>
      <w:r>
        <w:rPr/>
      </w:r>
    </w:p>
    <w:p>
      <w:pPr>
        <w:pStyle w:val="ListParagraph"/>
        <w:widowControl w:val="false"/>
        <w:numPr>
          <w:ilvl w:val="1"/>
          <w:numId w:val="2"/>
        </w:numPr>
        <w:tabs>
          <w:tab w:val="left" w:pos="426" w:leader="none"/>
        </w:tabs>
        <w:spacing w:before="120" w:after="0"/>
        <w:contextualSpacing/>
        <w:rPr>
          <w:b/>
          <w:b/>
        </w:rPr>
      </w:pPr>
      <w:r>
        <w:rPr>
          <w:b/>
        </w:rPr>
        <w:t xml:space="preserve"> </w:t>
      </w:r>
      <w:r>
        <w:rPr>
          <w:b/>
        </w:rPr>
        <w:t xml:space="preserve">Цель </w:t>
      </w:r>
      <w:bookmarkEnd w:id="2"/>
      <w:r>
        <w:rPr>
          <w:b/>
        </w:rPr>
        <w:t xml:space="preserve">выполнения работ  </w:t>
      </w:r>
    </w:p>
    <w:p>
      <w:pPr>
        <w:pStyle w:val="Normal"/>
        <w:jc w:val="both"/>
        <w:rPr/>
      </w:pPr>
      <w:r>
        <w:rPr>
          <w:i/>
          <w:sz w:val="24"/>
          <w:szCs w:val="24"/>
        </w:rPr>
        <w:t>Целью выполняемых работ является выполнение строительно-монтажных работ</w:t>
      </w:r>
      <w:r>
        <w:rPr>
          <w:i/>
          <w:iCs/>
          <w:sz w:val="24"/>
          <w:szCs w:val="24"/>
        </w:rPr>
        <w:t xml:space="preserve"> в отношении объектов капитального строительства, указанных в перечне объектов заказчика (Таблица 1) в соответствии с Техническим заданием (Приложение </w:t>
      </w:r>
      <w:r>
        <w:rPr>
          <w:i/>
          <w:iCs/>
          <w:sz w:val="24"/>
          <w:szCs w:val="24"/>
        </w:rPr>
        <w:t>6</w:t>
      </w:r>
      <w:r>
        <w:rPr>
          <w:i/>
          <w:iCs/>
          <w:sz w:val="24"/>
          <w:szCs w:val="24"/>
        </w:rPr>
        <w:t xml:space="preserve"> к ТТ), для </w:t>
      </w:r>
      <w:r>
        <w:rPr>
          <w:i/>
          <w:sz w:val="24"/>
          <w:szCs w:val="24"/>
        </w:rPr>
        <w:t xml:space="preserve">исполнения обязательств АО «ДРСК» на территории обслуживания структурного подразделения </w:t>
      </w:r>
      <w:r>
        <w:rPr>
          <w:bCs/>
          <w:i/>
          <w:iCs/>
          <w:sz w:val="24"/>
          <w:szCs w:val="24"/>
        </w:rPr>
        <w:t xml:space="preserve">"Северные электрические сети" в рамках выполнения инвестиционного проекта: </w:t>
      </w:r>
      <w:r>
        <w:rPr>
          <w:bCs/>
          <w:i/>
          <w:iCs/>
          <w:sz w:val="24"/>
          <w:szCs w:val="24"/>
          <w:lang w:val="en-US"/>
        </w:rPr>
        <w:t>J</w:t>
      </w:r>
      <w:r>
        <w:rPr>
          <w:bCs/>
          <w:i/>
          <w:iCs/>
          <w:sz w:val="24"/>
          <w:szCs w:val="24"/>
        </w:rPr>
        <w:t>_28-АЭС-</w:t>
      </w:r>
      <w:r>
        <w:rPr>
          <w:bCs/>
          <w:i/>
          <w:iCs/>
          <w:sz w:val="24"/>
          <w:szCs w:val="24"/>
          <w:lang w:val="en-US"/>
        </w:rPr>
        <w:t>C</w:t>
      </w:r>
      <w:r>
        <w:rPr>
          <w:bCs/>
          <w:i/>
          <w:iCs/>
          <w:sz w:val="24"/>
          <w:szCs w:val="24"/>
        </w:rPr>
        <w:t>-11.7, М_28-АЭС-11.8 филиала "Амурские электрические сети".</w:t>
      </w:r>
      <w:r>
        <w:rPr>
          <w:b/>
        </w:rPr>
        <w:t xml:space="preserve"> 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</w:r>
    </w:p>
    <w:p>
      <w:pPr>
        <w:pStyle w:val="4"/>
        <w:numPr>
          <w:ilvl w:val="1"/>
          <w:numId w:val="2"/>
        </w:numPr>
        <w:rPr>
          <w:b/>
          <w:b/>
        </w:rPr>
      </w:pPr>
      <w:bookmarkStart w:id="4" w:name="_Toc54646399"/>
      <w:bookmarkStart w:id="5" w:name="_Toc46743508"/>
      <w:bookmarkStart w:id="6" w:name="_Toc546463981"/>
      <w:bookmarkEnd w:id="6"/>
      <w:r>
        <w:rPr>
          <w:b/>
        </w:rPr>
        <w:t xml:space="preserve">  </w:t>
      </w:r>
      <w:bookmarkEnd w:id="4"/>
      <w:bookmarkEnd w:id="5"/>
      <w:r>
        <w:rPr>
          <w:b/>
        </w:rPr>
        <w:t>Существующее положение</w:t>
      </w:r>
    </w:p>
    <w:p>
      <w:pPr>
        <w:pStyle w:val="3"/>
        <w:numPr>
          <w:ilvl w:val="2"/>
          <w:numId w:val="2"/>
        </w:numPr>
        <w:rPr/>
      </w:pPr>
      <w:r>
        <w:rPr/>
        <w:t>Вид деятельности, в отношении которой выполняются работы – реконструкция.</w:t>
      </w:r>
    </w:p>
    <w:p>
      <w:pPr>
        <w:pStyle w:val="ListParagraph"/>
        <w:numPr>
          <w:ilvl w:val="2"/>
          <w:numId w:val="2"/>
        </w:numPr>
        <w:rPr/>
      </w:pPr>
      <w:r>
        <w:rPr>
          <w:lang w:eastAsia="x-none"/>
        </w:rPr>
        <w:t>Выполнение работ обеспечивается в соответствии с Ведомостями объемами работ (Приложение 1-2 к ТТ);</w:t>
      </w:r>
    </w:p>
    <w:p>
      <w:pPr>
        <w:pStyle w:val="1"/>
        <w:ind w:left="0" w:firstLine="284"/>
        <w:jc w:val="right"/>
        <w:rPr>
          <w:b/>
          <w:b/>
        </w:rPr>
      </w:pPr>
      <w:bookmarkStart w:id="7" w:name="_Toc54646400"/>
      <w:r>
        <w:rPr/>
        <w:t xml:space="preserve">Таблица 1. </w:t>
      </w:r>
      <w:bookmarkEnd w:id="7"/>
      <w:r>
        <w:rPr>
          <w:b/>
        </w:rPr>
        <w:t xml:space="preserve">Перечень объектов заказчика </w:t>
      </w:r>
    </w:p>
    <w:tbl>
      <w:tblPr>
        <w:tblW w:w="10202" w:type="dxa"/>
        <w:jc w:val="left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96"/>
        <w:gridCol w:w="3120"/>
        <w:gridCol w:w="2559"/>
        <w:gridCol w:w="3826"/>
      </w:tblGrid>
      <w:tr>
        <w:trPr>
          <w:trHeight w:val="902" w:hRule="atLeast"/>
        </w:trPr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ind w:left="-101" w:firstLine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  <w:t xml:space="preserve">(место производства работ) 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Имущество Заказчика </w:t>
            </w:r>
          </w:p>
          <w:p>
            <w:pPr>
              <w:pStyle w:val="Normal"/>
              <w:ind w:left="-101" w:firstLine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(основные средства) в составе Объекта в соответствии с ТЗ (Приложение 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)</w:t>
            </w:r>
          </w:p>
        </w:tc>
      </w:tr>
      <w:tr>
        <w:trPr>
          <w:trHeight w:val="288" w:hRule="atLeast"/>
        </w:trPr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288" w:hRule="atLeast"/>
        </w:trPr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hanging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Реконструкция ВЛ 0,4 кВ от ВЛ 10 кВ Ф №9 ПС 220 кВ Энергия </w:t>
            </w:r>
          </w:p>
        </w:tc>
        <w:tc>
          <w:tcPr>
            <w:tcW w:w="2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ind w:left="-101" w:firstLine="101"/>
              <w:jc w:val="center"/>
              <w:rPr/>
            </w:pPr>
            <w:r>
              <w:rPr>
                <w:sz w:val="22"/>
                <w:szCs w:val="22"/>
              </w:rPr>
              <w:t>Амурская область, г. Зея, с. Сосновый Бор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6"/>
              </w:rPr>
              <w:t>ВЛ 0,4 кВ ТП-64, ТП-19/1, ТП-19 (</w:t>
            </w:r>
            <w:r>
              <w:rPr>
                <w:sz w:val="22"/>
                <w:szCs w:val="22"/>
                <w:lang w:val="en-US"/>
              </w:rPr>
              <w:t>AS</w:t>
            </w:r>
            <w:r>
              <w:rPr>
                <w:sz w:val="22"/>
                <w:szCs w:val="22"/>
              </w:rPr>
              <w:t>0002620</w:t>
            </w:r>
            <w:r>
              <w:rPr>
                <w:sz w:val="22"/>
                <w:szCs w:val="26"/>
              </w:rPr>
              <w:t>)</w:t>
            </w:r>
          </w:p>
        </w:tc>
      </w:tr>
      <w:tr>
        <w:trPr>
          <w:trHeight w:val="288" w:hRule="atLeast"/>
        </w:trPr>
        <w:tc>
          <w:tcPr>
            <w:tcW w:w="6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31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jc w:val="both"/>
              <w:rPr>
                <w:sz w:val="22"/>
                <w:szCs w:val="20"/>
              </w:rPr>
            </w:pPr>
            <w:bookmarkStart w:id="8" w:name="__DdeLink__1179_2981343950"/>
            <w:bookmarkEnd w:id="8"/>
            <w:r>
              <w:rPr>
                <w:sz w:val="22"/>
                <w:szCs w:val="26"/>
              </w:rPr>
              <w:t>Реконструкция ВЛ-0,4 кВ с. Сосновый Бор</w:t>
            </w:r>
          </w:p>
        </w:tc>
        <w:tc>
          <w:tcPr>
            <w:tcW w:w="2559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ind w:left="-101" w:firstLine="10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6"/>
              </w:rPr>
              <w:t>ВЛ 0,4 кВ ТП-42, ТП-43 (</w:t>
            </w:r>
            <w:r>
              <w:rPr>
                <w:sz w:val="22"/>
                <w:szCs w:val="22"/>
                <w:lang w:val="en-US"/>
              </w:rPr>
              <w:t>SS</w:t>
            </w:r>
            <w:r>
              <w:rPr>
                <w:sz w:val="22"/>
                <w:szCs w:val="22"/>
              </w:rPr>
              <w:t>0000122</w:t>
            </w:r>
            <w:r>
              <w:rPr>
                <w:sz w:val="22"/>
                <w:szCs w:val="26"/>
              </w:rPr>
              <w:t>)</w:t>
            </w:r>
          </w:p>
        </w:tc>
      </w:tr>
    </w:tbl>
    <w:p>
      <w:pPr>
        <w:pStyle w:val="2"/>
        <w:ind w:left="567" w:firstLine="567"/>
        <w:rPr>
          <w:b/>
          <w:b/>
        </w:rPr>
      </w:pPr>
      <w:r>
        <w:rPr>
          <w:b/>
        </w:rPr>
      </w:r>
    </w:p>
    <w:p>
      <w:pPr>
        <w:pStyle w:val="2"/>
        <w:numPr>
          <w:ilvl w:val="0"/>
          <w:numId w:val="3"/>
        </w:numPr>
        <w:ind w:left="0" w:firstLine="567"/>
        <w:rPr>
          <w:b/>
          <w:b/>
        </w:rPr>
      </w:pPr>
      <w:r>
        <w:rPr>
          <w:b/>
        </w:rPr>
        <w:t>Требования к продукции</w:t>
      </w:r>
    </w:p>
    <w:p>
      <w:pPr>
        <w:pStyle w:val="4"/>
        <w:numPr>
          <w:ilvl w:val="1"/>
          <w:numId w:val="3"/>
        </w:numPr>
        <w:rPr>
          <w:b/>
          <w:b/>
        </w:rPr>
      </w:pPr>
      <w:bookmarkStart w:id="9" w:name="_Toc54646404"/>
      <w:bookmarkEnd w:id="9"/>
      <w:r>
        <w:rPr>
          <w:b/>
        </w:rPr>
        <w:t>Требования к объемам и срокам выполнения работ</w:t>
      </w:r>
    </w:p>
    <w:p>
      <w:pPr>
        <w:pStyle w:val="3"/>
        <w:ind w:left="720" w:hanging="0"/>
        <w:rPr/>
      </w:pPr>
      <w:bookmarkStart w:id="10" w:name="_Toc54646405"/>
      <w:bookmarkEnd w:id="10"/>
      <w:r>
        <w:rPr/>
        <w:t>2.1.1. Требования к видам и объемам работ</w:t>
      </w:r>
    </w:p>
    <w:p>
      <w:pPr>
        <w:pStyle w:val="1"/>
        <w:ind w:left="0" w:hanging="0"/>
        <w:jc w:val="center"/>
        <w:rPr>
          <w:b/>
          <w:b/>
        </w:rPr>
      </w:pPr>
      <w:bookmarkStart w:id="11" w:name="_Toc51339695"/>
      <w:bookmarkStart w:id="12" w:name="_Toc54646406"/>
      <w:r>
        <w:rPr/>
        <w:t xml:space="preserve">Таблица 2. </w:t>
      </w:r>
      <w:r>
        <w:rPr>
          <w:b/>
        </w:rPr>
        <w:t xml:space="preserve">Перечень </w:t>
      </w:r>
      <w:bookmarkEnd w:id="11"/>
      <w:bookmarkEnd w:id="12"/>
      <w:r>
        <w:rPr>
          <w:b/>
        </w:rPr>
        <w:t>и объем выполняемых работ</w:t>
      </w:r>
    </w:p>
    <w:tbl>
      <w:tblPr>
        <w:tblW w:w="10093" w:type="dxa"/>
        <w:jc w:val="left"/>
        <w:tblInd w:w="6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28"/>
        <w:gridCol w:w="5661"/>
        <w:gridCol w:w="2222"/>
        <w:gridCol w:w="1381"/>
      </w:tblGrid>
      <w:tr>
        <w:trPr/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2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keepNext w:val="tru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6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b/>
              </w:rPr>
              <w:t>Выполнение строительно-монтажных работ</w:t>
            </w:r>
          </w:p>
        </w:tc>
      </w:tr>
      <w:tr>
        <w:trPr/>
        <w:tc>
          <w:tcPr>
            <w:tcW w:w="8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</w:t>
            </w:r>
          </w:p>
        </w:tc>
        <w:tc>
          <w:tcPr>
            <w:tcW w:w="5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СМР и ПНР в соответствии с предоставленной Заказчиком ПД и ведомостью объемов работ</w:t>
            </w:r>
          </w:p>
        </w:tc>
        <w:tc>
          <w:tcPr>
            <w:tcW w:w="22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3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</w:tcPr>
          <w:p>
            <w:pPr>
              <w:pStyle w:val="Normal"/>
              <w:suppressAutoHyphens w:val="true"/>
              <w:jc w:val="center"/>
              <w:rPr/>
            </w:pPr>
            <w:r>
              <w:rPr>
                <w:i/>
                <w:sz w:val="24"/>
                <w:szCs w:val="24"/>
              </w:rPr>
              <w:t>2</w:t>
            </w:r>
          </w:p>
        </w:tc>
      </w:tr>
    </w:tbl>
    <w:p>
      <w:pPr>
        <w:pStyle w:val="4"/>
        <w:numPr>
          <w:ilvl w:val="0"/>
          <w:numId w:val="0"/>
        </w:numPr>
        <w:ind w:firstLine="567"/>
        <w:rPr/>
      </w:pPr>
      <w:r>
        <w:rPr/>
      </w:r>
    </w:p>
    <w:p>
      <w:pPr>
        <w:pStyle w:val="4"/>
        <w:numPr>
          <w:ilvl w:val="2"/>
          <w:numId w:val="4"/>
        </w:numPr>
        <w:rPr/>
      </w:pPr>
      <w:r>
        <w:rPr/>
        <w:t>Требования к срокам выполнения работ.</w:t>
      </w:r>
    </w:p>
    <w:p>
      <w:pPr>
        <w:pStyle w:val="1"/>
        <w:ind w:left="0" w:hanging="0"/>
        <w:jc w:val="center"/>
        <w:rPr>
          <w:b/>
          <w:b/>
        </w:rPr>
      </w:pPr>
      <w:r>
        <w:rPr/>
        <w:t xml:space="preserve">Таблица 3. </w:t>
      </w:r>
      <w:bookmarkStart w:id="13" w:name="_Hlk50465284"/>
      <w:r>
        <w:rPr>
          <w:b/>
        </w:rPr>
        <w:t xml:space="preserve">Требования по срокам </w:t>
      </w:r>
      <w:bookmarkEnd w:id="13"/>
      <w:r>
        <w:rPr>
          <w:b/>
        </w:rPr>
        <w:t>выполнения работ</w:t>
      </w:r>
    </w:p>
    <w:tbl>
      <w:tblPr>
        <w:tblW w:w="10060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48"/>
        <w:gridCol w:w="4611"/>
        <w:gridCol w:w="2129"/>
        <w:gridCol w:w="2471"/>
      </w:tblGrid>
      <w:tr>
        <w:trPr>
          <w:trHeight w:val="86" w:hRule="atLeast"/>
        </w:trPr>
        <w:tc>
          <w:tcPr>
            <w:tcW w:w="8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6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ind w:left="-108"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(состав Работ)</w:t>
            </w:r>
          </w:p>
        </w:tc>
        <w:tc>
          <w:tcPr>
            <w:tcW w:w="46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Период выполнения </w:t>
            </w:r>
          </w:p>
        </w:tc>
      </w:tr>
      <w:tr>
        <w:trPr>
          <w:trHeight w:val="60" w:hRule="atLeast"/>
        </w:trPr>
        <w:tc>
          <w:tcPr>
            <w:tcW w:w="8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46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2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Окончание</w:t>
            </w:r>
          </w:p>
        </w:tc>
      </w:tr>
      <w:tr>
        <w:trPr>
          <w:trHeight w:val="60" w:hRule="atLeast"/>
        </w:trPr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ind w:left="115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Строительно-монтажные, электромонтажные и пусконаладочные работы</w:t>
            </w: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  <w:rPr/>
            </w:pPr>
            <w:bookmarkStart w:id="14" w:name="__DdeLink__1189_340392609"/>
            <w:bookmarkEnd w:id="14"/>
            <w:r>
              <w:rPr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2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68" w:type="dxa"/>
            </w:tcMar>
            <w:vAlign w:val="center"/>
          </w:tcPr>
          <w:p>
            <w:pPr>
              <w:pStyle w:val="Normal"/>
              <w:jc w:val="center"/>
              <w:rPr>
                <w:rStyle w:val="Pagenumber"/>
              </w:rPr>
            </w:pPr>
            <w:r>
              <w:rPr>
                <w:sz w:val="24"/>
                <w:szCs w:val="24"/>
              </w:rPr>
              <w:t>30.11.2024</w:t>
            </w:r>
          </w:p>
        </w:tc>
      </w:tr>
    </w:tbl>
    <w:p>
      <w:pPr>
        <w:sectPr>
          <w:headerReference w:type="default" r:id="rId2"/>
          <w:type w:val="nextPage"/>
          <w:pgSz w:w="11906" w:h="16838"/>
          <w:pgMar w:left="1276" w:right="709" w:header="709" w:top="851" w:footer="0" w:bottom="709" w:gutter="0"/>
          <w:pgNumType w:fmt="decimal"/>
          <w:formProt w:val="false"/>
          <w:textDirection w:val="lrTb"/>
          <w:docGrid w:type="default" w:linePitch="381" w:charSpace="4294952959"/>
        </w:sectPr>
      </w:pPr>
    </w:p>
    <w:p>
      <w:pPr>
        <w:pStyle w:val="4"/>
        <w:numPr>
          <w:ilvl w:val="1"/>
          <w:numId w:val="4"/>
        </w:numPr>
        <w:rPr>
          <w:b/>
          <w:b/>
        </w:rPr>
      </w:pPr>
      <w:r>
        <w:rPr/>
        <w:t xml:space="preserve"> </w:t>
      </w:r>
      <w:bookmarkStart w:id="15" w:name="_Toc54646410"/>
      <w:bookmarkStart w:id="16" w:name="_Toc51339698"/>
      <w:bookmarkStart w:id="17" w:name="_Toc50125131"/>
      <w:bookmarkEnd w:id="15"/>
      <w:bookmarkEnd w:id="16"/>
      <w:bookmarkEnd w:id="17"/>
      <w:r>
        <w:rPr>
          <w:b/>
        </w:rPr>
        <w:t>Требования к качеству работ</w:t>
      </w:r>
    </w:p>
    <w:p>
      <w:pPr>
        <w:pStyle w:val="Normal"/>
        <w:keepNext w:val="true"/>
        <w:keepLines/>
        <w:numPr>
          <w:ilvl w:val="0"/>
          <w:numId w:val="0"/>
        </w:numPr>
        <w:jc w:val="center"/>
        <w:outlineLvl w:val="0"/>
        <w:rPr/>
      </w:pPr>
      <w:r>
        <w:rPr>
          <w:rFonts w:eastAsia="Calibri"/>
          <w:b/>
          <w:lang w:val="x-none" w:eastAsia="x-none"/>
        </w:rPr>
        <w:t>Таблица</w:t>
      </w:r>
      <w:r>
        <w:rPr>
          <w:rFonts w:eastAsia="Calibri"/>
          <w:b/>
          <w:lang w:eastAsia="x-none"/>
        </w:rPr>
        <w:t xml:space="preserve"> 4</w:t>
      </w:r>
      <w:r>
        <w:rPr>
          <w:rFonts w:eastAsia="Calibri"/>
          <w:b/>
          <w:lang w:val="x-none" w:eastAsia="x-none"/>
        </w:rPr>
        <w:t xml:space="preserve">. Требования к </w:t>
      </w:r>
      <w:r>
        <w:rPr>
          <w:rFonts w:eastAsia="Calibri"/>
          <w:b/>
          <w:lang w:eastAsia="x-none"/>
        </w:rPr>
        <w:t>качеству работ</w:t>
      </w:r>
    </w:p>
    <w:tbl>
      <w:tblPr>
        <w:tblpPr w:bottomFromText="0" w:horzAnchor="text" w:leftFromText="180" w:rightFromText="180" w:tblpX="-5" w:tblpY="1" w:topFromText="0" w:vertAnchor="text"/>
        <w:tblW w:w="15735" w:type="dxa"/>
        <w:jc w:val="left"/>
        <w:tblInd w:w="2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8" w:type="dxa"/>
          <w:bottom w:w="0" w:type="dxa"/>
          <w:right w:w="28" w:type="dxa"/>
        </w:tblCellMar>
        <w:tblLook w:val="04a0" w:noVBand="1" w:noHBand="0" w:lastColumn="0" w:firstColumn="1" w:lastRow="0" w:firstRow="1"/>
      </w:tblPr>
      <w:tblGrid>
        <w:gridCol w:w="692"/>
        <w:gridCol w:w="1940"/>
        <w:gridCol w:w="11"/>
        <w:gridCol w:w="8764"/>
        <w:gridCol w:w="1873"/>
        <w:gridCol w:w="2067"/>
        <w:gridCol w:w="148"/>
        <w:gridCol w:w="239"/>
      </w:tblGrid>
      <w:tr>
        <w:trPr/>
        <w:tc>
          <w:tcPr>
            <w:tcW w:w="6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r>
              <w:rPr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95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8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408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951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764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62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1.1.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tabs>
                <w:tab w:val="left" w:pos="567" w:leader="none"/>
              </w:tabs>
              <w:jc w:val="both"/>
              <w:rPr/>
            </w:pPr>
            <w:r>
              <w:rPr>
                <w:b/>
                <w:sz w:val="24"/>
                <w:szCs w:val="24"/>
              </w:rPr>
              <w:t>Общие требования выполнения работ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62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1.1.1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tabs>
                <w:tab w:val="left" w:pos="567" w:leader="none"/>
              </w:tabs>
              <w:jc w:val="center"/>
              <w:rPr/>
            </w:pPr>
            <w:r>
              <w:rPr>
                <w:i/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 при выполнении кадастровых работ</w:t>
            </w:r>
          </w:p>
        </w:tc>
        <w:tc>
          <w:tcPr>
            <w:tcW w:w="8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tabs>
                <w:tab w:val="left" w:pos="466" w:leader="none"/>
              </w:tabs>
              <w:spacing w:before="0" w:after="60"/>
              <w:ind w:left="0" w:firstLine="324"/>
              <w:contextualSpacing/>
              <w:jc w:val="both"/>
              <w:rPr/>
            </w:pPr>
            <w:r>
              <w:rPr/>
              <w:t>При выполнении работ руководствоваться: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>- Земельным кодексом Российской Федерации;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 xml:space="preserve">- Градостроительным </w:t>
            </w:r>
            <w:bookmarkStart w:id="18" w:name="_GoBack"/>
            <w:bookmarkEnd w:id="18"/>
            <w:r>
              <w:rPr>
                <w:sz w:val="24"/>
                <w:szCs w:val="24"/>
              </w:rPr>
              <w:t>кодексом РФ;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>- Гражданским кодексом РФ;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>- Федеральным законом от 13.07.2015 № 218-ФЗ «О государственной регистрации недвижимости»;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>- Федеральный закон от 24.07.2007 г. № 221-ФЗ «О кадастровой деятельности»;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>- Федеральным законом от 30.12.2015 N 431-ФЗ «О геодезии, картографии и пространственных данных и о внесении изменений в отдельные законодательные акты Российской Федерации»;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>- Приказом Министерства экономического развития РФ от 18.12.2015 № 953 «Об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сведений»;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>- Приказом Минэкономразвития России от 28.07.2017 N 383 «Об утверждении Порядка установления местных систем координат»;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>- Постановлением Правительства РФ от 28.07.2000 N 568 «Об установлении единых государственных систем координат»;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>- Постановлением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      </w:r>
          </w:p>
          <w:p>
            <w:pPr>
              <w:pStyle w:val="Normal"/>
              <w:widowControl w:val="false"/>
              <w:tabs>
                <w:tab w:val="left" w:pos="567" w:leader="none"/>
              </w:tabs>
              <w:ind w:firstLine="607"/>
              <w:jc w:val="both"/>
              <w:rPr/>
            </w:pPr>
            <w:r>
              <w:rPr>
                <w:sz w:val="24"/>
                <w:szCs w:val="24"/>
              </w:rPr>
              <w:t>- Нормами отвода земель, для электрических сетей напряжением 0,38-750 кВ № 14278тм-т1;</w:t>
            </w:r>
          </w:p>
          <w:p>
            <w:pPr>
              <w:pStyle w:val="Normal"/>
              <w:widowControl w:val="false"/>
              <w:tabs>
                <w:tab w:val="left" w:pos="46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62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1.1.2</w:t>
            </w:r>
          </w:p>
        </w:tc>
        <w:tc>
          <w:tcPr>
            <w:tcW w:w="1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tabs>
                <w:tab w:val="left" w:pos="567" w:leader="none"/>
              </w:tabs>
              <w:jc w:val="center"/>
              <w:rPr/>
            </w:pPr>
            <w:r>
              <w:rPr>
                <w:i/>
                <w:iCs/>
                <w:spacing w:val="4"/>
                <w:sz w:val="24"/>
                <w:szCs w:val="24"/>
              </w:rPr>
              <w:t>Требования к выполнению строительно-монтажных работ</w:t>
            </w:r>
          </w:p>
        </w:tc>
        <w:tc>
          <w:tcPr>
            <w:tcW w:w="877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Назначение приказом подрядчика ответственного лица на объекте за соблюдением требований техники безопасности, пожарной безопасности и охраны окружающей среды;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Разбивка трассы;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Подрядчик самостоятельно согласовывает производство работ со смежными землепользователями, с заинтересованными организациями, физическими лицами и получает разрешение на производство работ (ордер на производство земляных работ), в установленном законом порядке;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Извещает заинтересованные организации и сетедержателей о начале выполнения работ в подконтрольной зоне их объектов;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 xml:space="preserve">Строительно-монтажные работы выполняются на основании разработанного Подрядчиком и согласованным с Заказчиком проектом производства работ (ППР). ППР разработать с учетом минимизации времени отключения ЛЭП для производства работ и получить все необходимые согласования;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 xml:space="preserve">Работы производятся в действующих электроустановках, вследствие чего Подрядчику необходимо проводить согласованные действия и мероприятия по охране труда согласно требованиям правил по охране труда (правил безопасности). При необходимости с оформлением допуска для производства работ в зоне, действующей электроустановки;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Работы по Объекту  подлежат выполнению в строгом соответствии с утвержденной рабочей документацией, указаниями 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ПУЭ (действующее издание);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ПТЭ (действующее издание);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СП 48.13330.2019 Организация строительства;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СП 68.13330.2017 Приемка в эксплуатацию законченных строительством объектов. Основные положения;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СП 76.13330.2016 Электротехнические устройства;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СП 126.13330.2017 Геодезические работы в строительстве;</w:t>
              <w:tab/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РД-11-02-2006 «Требования к исполнительной документации»;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РД-11-05-2007 «Порядок ведения общего журнала работ»;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СО 34.35.302-2006 «инструкция по организации и производству работ в устройствах релейной защиты и электроатвоматики электростанций и посдтанций»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РД 153-34.3-35.613-00 «Правила технического обслуживания устройств релейной защиты и электроатвоматики электрических сетсей 0,5-35 кВ»</w:t>
            </w:r>
          </w:p>
          <w:p>
            <w:pPr>
              <w:pStyle w:val="ListParagraph"/>
              <w:widowControl w:val="false"/>
              <w:tabs>
                <w:tab w:val="left" w:pos="466" w:leader="none"/>
              </w:tabs>
              <w:ind w:left="0" w:firstLine="607"/>
              <w:jc w:val="both"/>
              <w:rPr/>
            </w:pPr>
            <w:r>
              <w:rPr/>
              <w:t>- И 1.13-07 «Инструкция по оформлению приемо-сдаточной документации по электромонтажным работам»;</w:t>
            </w:r>
          </w:p>
          <w:p>
            <w:pPr>
              <w:pStyle w:val="ListParagraph"/>
              <w:widowControl w:val="false"/>
              <w:tabs>
                <w:tab w:val="left" w:pos="466" w:leader="none"/>
              </w:tabs>
              <w:ind w:left="0" w:firstLine="607"/>
              <w:jc w:val="both"/>
              <w:rPr/>
            </w:pPr>
            <w:r>
              <w:rPr/>
              <w:t>- Постановление Правительства Российской Федерации от 21 июня 2010 г.      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 xml:space="preserve">СНиП 12-03-2001 «Безопасность труда в строительстве», часть 1 «Общие требования»;  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СНиП 12-04-2002 «Безопасность труда в строительстве», часть 2 «Строительное производство»;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 xml:space="preserve">ГОСТ 12.3.032-84 ССБТ «Работы электромонтажные. Общие требования безопасности»; 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 xml:space="preserve">Правила безопасности при строительстве линий электропередачи и производства электромонтажных работ (РД 153-34.3-03.285-2002); 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 xml:space="preserve">Правила пожарной безопасности; 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Правила устройства и безопасной эксплуатации грузоподъемных кранов;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Правила по охране труда при эксплуатации электроустановок, утвержденных приказом Министерства труда и социальной защиты РФ от 15 декабря 2020 № 903 н;</w:t>
            </w:r>
          </w:p>
          <w:p>
            <w:pPr>
              <w:pStyle w:val="ListParagraph"/>
              <w:widowControl w:val="false"/>
              <w:tabs>
                <w:tab w:val="left" w:pos="466" w:leader="none"/>
              </w:tabs>
              <w:ind w:left="0" w:firstLine="607"/>
              <w:jc w:val="both"/>
              <w:rPr/>
            </w:pPr>
            <w:r>
              <w:rPr/>
              <w:t>- Иные действующие законодательные и нормативно-технические документы  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 и Приморского края и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 и Объекту.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 xml:space="preserve">Строительно-монтажные и пусконаладочные работы выполняются согласно ППР (проекта производства работ) и графика производства работ. ППР и график разрабатываются Подрядчиком и перед началом работ предоставляются для согласования Заказчику; 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Подрядчик ведет исполнительную документацию, где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Подрядчика, которая предоставляется Заказчику в соответствии с приказом Министерства строительства и ЖКХ РФ от 16 мая 2023 г. N 344/пр, в частности:</w:t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Ведомость объектов (с указанием физ. параметров);</w:t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Акт технической готовности электромонтажных работ;</w:t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Схемы оборудования;</w:t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Акты освидетельствования скрытых работ:</w:t>
            </w:r>
          </w:p>
          <w:p>
            <w:pPr>
              <w:pStyle w:val="Normal"/>
              <w:widowControl w:val="false"/>
              <w:tabs>
                <w:tab w:val="left" w:pos="181" w:leader="none"/>
              </w:tabs>
              <w:ind w:left="465" w:hanging="426"/>
              <w:jc w:val="both"/>
              <w:rPr/>
            </w:pPr>
            <w:r>
              <w:rPr/>
              <w:t xml:space="preserve">- </w:t>
            </w:r>
            <w:r>
              <w:rPr>
                <w:sz w:val="24"/>
                <w:szCs w:val="24"/>
              </w:rPr>
              <w:t>по монтажу заземляющего устройства с исполнительной схемой;</w:t>
            </w:r>
          </w:p>
          <w:p>
            <w:pPr>
              <w:pStyle w:val="Normal"/>
              <w:widowControl w:val="false"/>
              <w:tabs>
                <w:tab w:val="left" w:pos="181" w:leader="none"/>
                <w:tab w:val="left" w:pos="1080" w:leader="none"/>
              </w:tabs>
              <w:ind w:left="181" w:hanging="142"/>
              <w:jc w:val="both"/>
              <w:rPr/>
            </w:pPr>
            <w:r>
              <w:rPr>
                <w:sz w:val="24"/>
                <w:szCs w:val="24"/>
              </w:rPr>
              <w:t>- по устройству траншей, оснований, фундаментов, прокладке кабеля, обратной засыпке;</w:t>
              <w:tab/>
            </w:r>
          </w:p>
          <w:p>
            <w:pPr>
              <w:pStyle w:val="Normal"/>
              <w:widowControl w:val="false"/>
              <w:tabs>
                <w:tab w:val="left" w:pos="181" w:leader="none"/>
              </w:tabs>
              <w:ind w:left="465" w:hanging="426"/>
              <w:jc w:val="both"/>
              <w:rPr/>
            </w:pPr>
            <w:r>
              <w:rPr>
                <w:sz w:val="24"/>
                <w:szCs w:val="24"/>
              </w:rPr>
              <w:t>- на прокладку кабельных линий;</w:t>
            </w:r>
          </w:p>
          <w:p>
            <w:pPr>
              <w:pStyle w:val="ListParagraph"/>
              <w:widowControl w:val="false"/>
              <w:tabs>
                <w:tab w:val="left" w:pos="181" w:leader="none"/>
              </w:tabs>
              <w:spacing w:before="0" w:after="60"/>
              <w:ind w:left="465" w:hanging="426"/>
              <w:contextualSpacing/>
              <w:jc w:val="both"/>
              <w:rPr/>
            </w:pPr>
            <w:r>
              <w:rPr>
                <w:rFonts w:eastAsia="Times New Roman"/>
              </w:rPr>
              <w:t>- на устройство основания под фундаменты;</w:t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Исполнительная документация на пересечения, сближения и параллельное следования с инженерными коммуникациями и сетями;</w:t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Протокол измерения сопротивления заземляющего устройства;</w:t>
              <w:tab/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Протокол проверки наличия цепи между заземленной установкой и заземлителем;</w:t>
              <w:tab/>
              <w:tab/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Паспорта и сертификаты на примененные материалы, изделия, оборудование;</w:t>
            </w:r>
          </w:p>
          <w:p>
            <w:pPr>
              <w:pStyle w:val="ListParagraph"/>
              <w:widowControl w:val="false"/>
              <w:numPr>
                <w:ilvl w:val="2"/>
                <w:numId w:val="7"/>
              </w:numPr>
              <w:tabs>
                <w:tab w:val="left" w:pos="466" w:leader="none"/>
              </w:tabs>
              <w:spacing w:before="0" w:after="60"/>
              <w:ind w:left="0" w:firstLine="607"/>
              <w:contextualSpacing/>
              <w:jc w:val="both"/>
              <w:rPr/>
            </w:pPr>
            <w:r>
              <w:rPr/>
              <w:t>Справка об устранении выявленных замечаний (при наличии);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Заказчик может дать письменное распоряжение, обязательное для Подрядчика, с указанием: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181" w:leader="none"/>
              </w:tabs>
              <w:spacing w:before="0" w:after="60"/>
              <w:ind w:left="0" w:hanging="0"/>
              <w:contextualSpacing/>
              <w:jc w:val="both"/>
              <w:rPr/>
            </w:pPr>
            <w:r>
              <w:rPr/>
              <w:t xml:space="preserve">увеличить или сократить объем любой работы, включенной в Договор; 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181" w:leader="none"/>
              </w:tabs>
              <w:spacing w:before="0" w:after="60"/>
              <w:ind w:left="0" w:hanging="0"/>
              <w:contextualSpacing/>
              <w:jc w:val="both"/>
              <w:rPr/>
            </w:pPr>
            <w:r>
              <w:rPr/>
              <w:t>исключить любую работу;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181" w:leader="none"/>
              </w:tabs>
              <w:spacing w:before="0" w:after="60"/>
              <w:ind w:left="0" w:hanging="0"/>
              <w:contextualSpacing/>
              <w:jc w:val="both"/>
              <w:rPr/>
            </w:pPr>
            <w:r>
              <w:rPr/>
              <w:t>изменить характер или качество, или вид любой части работы;</w:t>
            </w:r>
          </w:p>
          <w:p>
            <w:pPr>
              <w:pStyle w:val="ListParagraph"/>
              <w:widowControl w:val="false"/>
              <w:numPr>
                <w:ilvl w:val="1"/>
                <w:numId w:val="7"/>
              </w:numPr>
              <w:tabs>
                <w:tab w:val="left" w:pos="181" w:leader="none"/>
              </w:tabs>
              <w:spacing w:before="0" w:after="60"/>
              <w:ind w:left="0" w:hanging="0"/>
              <w:contextualSpacing/>
              <w:jc w:val="both"/>
              <w:rPr/>
            </w:pPr>
            <w:r>
              <w:rPr/>
              <w:t>выполнить дополнительную работу любого характера, необходимую для завершения строительства объекта;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66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Подрядчик обеспечивает в счет договорной цены сооружение всех временных (подъездных к участку строительства) дорог и коммуникаций, требуемых для выполнения работ и оказания услуг.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1985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1.2.1.</w:t>
            </w:r>
          </w:p>
        </w:tc>
        <w:tc>
          <w:tcPr>
            <w:tcW w:w="1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8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56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>
            <w:pPr>
              <w:pStyle w:val="ListParagraph"/>
              <w:widowControl w:val="false"/>
              <w:tabs>
                <w:tab w:val="left" w:pos="567" w:leader="none"/>
              </w:tabs>
              <w:ind w:left="0" w:firstLine="607"/>
              <w:jc w:val="both"/>
              <w:rPr/>
            </w:pPr>
            <w:r>
              <w:rPr/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>
            <w:pPr>
              <w:pStyle w:val="ListParagraph"/>
              <w:widowControl w:val="false"/>
              <w:tabs>
                <w:tab w:val="left" w:pos="567" w:leader="none"/>
              </w:tabs>
              <w:ind w:left="0" w:firstLine="607"/>
              <w:jc w:val="both"/>
              <w:rPr/>
            </w:pPr>
            <w:r>
              <w:rPr/>
              <w:t>- оформление допуска для производства работ в зоне, действующей ЛЭП.  Согласование с заказчиком Календарного графика выполнения работ.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56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 xml:space="preserve"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56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Организация выполнения строительно-монтажных работ осуществляется в соответствии ППР (проекта производства работ) и графика производства работ, которые разрабатываются Подрядчиком и не менее чем за 10 дней до начала работ предоставляются для согласования Заказчику.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56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Режим выполнения работ – по согласованному с Заказчиком, не менее чем за 15 рабочих дней, графику.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56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Работы выполнять при наличии уведомления о начале производства работ.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56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56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Обеспечить в установленном у Заказчика порядке оформление наряд-допуска на производство работ.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56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1.3.1</w:t>
            </w:r>
          </w:p>
        </w:tc>
        <w:tc>
          <w:tcPr>
            <w:tcW w:w="1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 xml:space="preserve">Требования к используемым материалам </w:t>
            </w:r>
            <w:r>
              <w:rPr/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и оборудованию </w:t>
            </w:r>
          </w:p>
        </w:tc>
        <w:tc>
          <w:tcPr>
            <w:tcW w:w="8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60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>Поставка оборудования и материалов осуществляется Подрядчиком в соответствии с опросными листами и заказными спецификациями, разработанными в составе рабочей документации.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60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>Подрядчик в обязательном порядке письменно согласовывает с Заказчиком Поставщика оборудования и материалов.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60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 xml:space="preserve">Поставку материалов и оборудования на объект, разгрузку и хранение материалов и конструкций осуществляет Подрядчик: </w:t>
            </w:r>
          </w:p>
          <w:p>
            <w:pPr>
              <w:pStyle w:val="ListParagraph"/>
              <w:widowControl w:val="false"/>
              <w:tabs>
                <w:tab w:val="left" w:pos="607" w:leader="none"/>
              </w:tabs>
              <w:ind w:left="0" w:firstLine="607"/>
              <w:jc w:val="both"/>
              <w:rPr/>
            </w:pPr>
            <w:r>
              <w:rPr>
                <w:bCs/>
              </w:rPr>
              <w:t>- Продукция должна быть новой и ранее не использованной. Все оборудование и материалы должны приобретаться непосредственно у производителей или официальных дилеров, имеющих подтвержденные полномочия;</w:t>
            </w:r>
          </w:p>
          <w:p>
            <w:pPr>
              <w:pStyle w:val="ListParagraph"/>
              <w:widowControl w:val="false"/>
              <w:tabs>
                <w:tab w:val="left" w:pos="749" w:leader="none"/>
              </w:tabs>
              <w:ind w:left="0" w:firstLine="607"/>
              <w:jc w:val="both"/>
              <w:rPr/>
            </w:pPr>
            <w:r>
              <w:rPr>
                <w:bCs/>
              </w:rPr>
              <w:t>- Поставляемая Подрядчиком продукция должная соответствовать содержанию опросных листов и спецификаций, определенных проектом, включая указания производителя продукции. Тип и состав оборудования, закупаемого Подрядчиком, может быть изменен только в случае предварительного согласования с Заказчиком;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60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>Требования к сертификации продукции:</w:t>
            </w:r>
          </w:p>
          <w:p>
            <w:pPr>
              <w:pStyle w:val="ListParagraph"/>
              <w:widowControl w:val="false"/>
              <w:tabs>
                <w:tab w:val="left" w:pos="607" w:leader="none"/>
              </w:tabs>
              <w:ind w:left="0" w:firstLine="607"/>
              <w:jc w:val="both"/>
              <w:rPr/>
            </w:pPr>
            <w:r>
              <w:rPr>
                <w:bCs/>
              </w:rPr>
              <w:t>- Для оборудования российских производителей требуется выполнение ТУ или иных документов, подтверждающих соответствие техническим требованиям;</w:t>
            </w:r>
          </w:p>
          <w:p>
            <w:pPr>
              <w:pStyle w:val="ListParagraph"/>
              <w:widowControl w:val="false"/>
              <w:tabs>
                <w:tab w:val="left" w:pos="607" w:leader="none"/>
              </w:tabs>
              <w:ind w:left="0" w:firstLine="607"/>
              <w:jc w:val="both"/>
              <w:rPr/>
            </w:pPr>
            <w:r>
              <w:rPr>
                <w:bCs/>
              </w:rPr>
              <w:t>- 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 РФ от 16.07.1999 №36 «о правилах проведения сертификации электрооборудования» (с изменениями);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60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испытаний. Надлежаще заверенные копии этих сертификатов,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и конструкций;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60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>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 и эксплуатации).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607" w:leader="none"/>
              </w:tabs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>Материалы и оборудование, высвободившиеся после демонтажа, вывозятся Подрядчиком на склад базы СП «СЭС» филиала АО «ДРСК» «Амурские ЭС», в чьем ведомстве находится реконструируемый объект, и передаются Подрядчиком Заказчику, с оформлением Акта об оприходовании материальных ценностей, полученных при разборке и демонтаже основных средств подрядными организациями (приложение № 1-6/31 к Приказу «Об учетной политике АО «ДРСК»).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1.4.1.</w:t>
            </w:r>
          </w:p>
        </w:tc>
        <w:tc>
          <w:tcPr>
            <w:tcW w:w="1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8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26" w:leader="none"/>
                <w:tab w:val="left" w:pos="540" w:leader="none"/>
                <w:tab w:val="left" w:pos="900" w:leader="none"/>
                <w:tab w:val="left" w:pos="993" w:leader="none"/>
                <w:tab w:val="left" w:pos="1080" w:leader="none"/>
                <w:tab w:val="left" w:pos="1134" w:leader="none"/>
              </w:tabs>
              <w:ind w:left="0" w:firstLine="360"/>
              <w:jc w:val="both"/>
              <w:rPr/>
            </w:pPr>
            <w:r>
              <w:rPr/>
              <w:t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26" w:leader="none"/>
                <w:tab w:val="left" w:pos="540" w:leader="none"/>
                <w:tab w:val="left" w:pos="900" w:leader="none"/>
                <w:tab w:val="left" w:pos="993" w:leader="none"/>
                <w:tab w:val="left" w:pos="1080" w:leader="none"/>
                <w:tab w:val="left" w:pos="1134" w:leader="none"/>
              </w:tabs>
              <w:ind w:left="0" w:firstLine="360"/>
              <w:jc w:val="both"/>
              <w:rPr/>
            </w:pPr>
            <w:r>
              <w:rPr/>
      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26" w:leader="none"/>
                <w:tab w:val="left" w:pos="540" w:leader="none"/>
                <w:tab w:val="left" w:pos="900" w:leader="none"/>
                <w:tab w:val="left" w:pos="993" w:leader="none"/>
                <w:tab w:val="left" w:pos="1080" w:leader="none"/>
                <w:tab w:val="left" w:pos="1134" w:leader="none"/>
              </w:tabs>
              <w:ind w:left="0" w:firstLine="360"/>
              <w:jc w:val="both"/>
              <w:rPr/>
            </w:pPr>
            <w:r>
              <w:rPr/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left" w:pos="426" w:leader="none"/>
                <w:tab w:val="left" w:pos="540" w:leader="none"/>
                <w:tab w:val="left" w:pos="900" w:leader="none"/>
                <w:tab w:val="left" w:pos="993" w:leader="none"/>
                <w:tab w:val="left" w:pos="1080" w:leader="none"/>
                <w:tab w:val="left" w:pos="1134" w:leader="none"/>
              </w:tabs>
              <w:ind w:left="0" w:firstLine="360"/>
              <w:jc w:val="both"/>
              <w:rPr/>
            </w:pPr>
            <w:r>
              <w:rPr/>
              <w:t>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 xml:space="preserve">Подрядчик при необходимости письменно уведомляет Заказчика о необходимости проведения освидетельствования и / или приемки Скрытых работ.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before="0" w:after="60"/>
              <w:ind w:left="0" w:firstLine="360"/>
              <w:contextualSpacing/>
              <w:jc w:val="both"/>
              <w:rPr/>
            </w:pPr>
            <w:r>
              <w:rPr/>
      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 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1.4.2.</w:t>
            </w:r>
          </w:p>
        </w:tc>
        <w:tc>
          <w:tcPr>
            <w:tcW w:w="1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Контроль качества используемых материалов и оборудования</w:t>
            </w:r>
          </w:p>
        </w:tc>
        <w:tc>
          <w:tcPr>
            <w:tcW w:w="8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>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Р 59853-2021, ГОСТ 34.201-2020, ГОСТ 8733-74, ГОСТ Р 2.601-2019,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spacing w:before="0" w:after="60"/>
              <w:ind w:left="0" w:firstLine="360"/>
              <w:contextualSpacing/>
              <w:jc w:val="both"/>
              <w:rPr/>
            </w:pPr>
            <w:r>
              <w:rPr>
                <w:bCs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с исполнительной технической документацией.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1.5.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1.5.1.</w:t>
            </w:r>
          </w:p>
        </w:tc>
        <w:tc>
          <w:tcPr>
            <w:tcW w:w="1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8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Cs/>
                <w:sz w:val="24"/>
                <w:szCs w:val="24"/>
              </w:rPr>
              <w:t xml:space="preserve">      </w:t>
            </w:r>
            <w:r>
              <w:rPr>
                <w:bCs/>
                <w:sz w:val="24"/>
                <w:szCs w:val="24"/>
              </w:rPr>
              <w:t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 - и пневмоинструментом) (возможно совмещение специальностей).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268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1.6.1.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60"/>
              <w:ind w:firstLine="312"/>
              <w:contextualSpacing/>
              <w:jc w:val="both"/>
              <w:rPr/>
            </w:pPr>
            <w:r>
              <w:rPr>
                <w:color w:val="000000" w:themeColor="text1"/>
                <w:sz w:val="24"/>
                <w:szCs w:val="24"/>
              </w:rPr>
              <w:t>Работы, 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</w:t>
            </w:r>
            <w:r>
              <w:rPr>
                <w:sz w:val="24"/>
                <w:szCs w:val="24"/>
              </w:rPr>
              <w:t>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1.6.2.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sz w:val="24"/>
                <w:szCs w:val="24"/>
              </w:rPr>
              <w:t>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1.6.</w:t>
            </w: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ind w:firstLine="312"/>
              <w:rPr/>
            </w:pPr>
            <w:r>
              <w:rPr>
                <w:sz w:val="24"/>
                <w:szCs w:val="24"/>
              </w:rPr>
              <w:t>Подрядчик (Исполнитель по договору подряда) до начала производства работ (оказания услуг)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46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43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63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2.1.1.</w:t>
            </w:r>
          </w:p>
        </w:tc>
        <w:tc>
          <w:tcPr>
            <w:tcW w:w="1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Результат работ</w:t>
            </w:r>
          </w:p>
        </w:tc>
        <w:tc>
          <w:tcPr>
            <w:tcW w:w="8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jc w:val="both"/>
              <w:rPr/>
            </w:pPr>
            <w:r>
              <w:rPr>
                <w:bCs/>
                <w:sz w:val="24"/>
                <w:szCs w:val="24"/>
              </w:rPr>
              <w:t xml:space="preserve">Работы должны быть выполнены в полном объеме в соответствии с техническим заданием, ведомостью объемов работ, проектной и рабочей документацией представленных в приложении к техническому заданию (Приложение 1, </w:t>
            </w:r>
            <w:r>
              <w:rPr>
                <w:bCs/>
                <w:sz w:val="24"/>
                <w:szCs w:val="24"/>
              </w:rPr>
              <w:t>2, 5, 6</w:t>
            </w:r>
            <w:r>
              <w:rPr>
                <w:bCs/>
                <w:sz w:val="24"/>
                <w:szCs w:val="24"/>
              </w:rPr>
              <w:t>).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ind w:left="123" w:hanging="0"/>
              <w:rPr/>
            </w:pPr>
            <w:r>
              <w:rPr/>
              <w:t>2.2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81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2.2.1.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Cs/>
                <w:sz w:val="24"/>
                <w:szCs w:val="24"/>
              </w:rPr>
              <w:t xml:space="preserve">     </w:t>
            </w:r>
            <w:r>
              <w:rPr>
                <w:bCs/>
                <w:sz w:val="24"/>
                <w:szCs w:val="24"/>
              </w:rPr>
              <w:t>Приемка выполненных работ осуществляется Заказчиком в соответствии с условиями заключенного договора подряда.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81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2.2.2.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165" w:leader="none"/>
              </w:tabs>
              <w:spacing w:before="0" w:after="60"/>
              <w:ind w:left="785" w:hanging="360"/>
              <w:contextualSpacing/>
              <w:jc w:val="both"/>
              <w:rPr/>
            </w:pPr>
            <w:r>
              <w:rPr/>
              <w:t>А</w:t>
            </w:r>
            <w:r>
              <w:rPr>
                <w:bCs/>
                <w:color w:val="000000" w:themeColor="text1"/>
              </w:rPr>
              <w:t xml:space="preserve">кты выполненных работ оформлять по объекту </w:t>
            </w:r>
            <w:r>
              <w:rPr>
                <w:b/>
                <w:bCs/>
                <w:i/>
                <w:color w:val="000000" w:themeColor="text1"/>
              </w:rPr>
              <w:t xml:space="preserve">таблицы 1 </w:t>
            </w:r>
            <w:r>
              <w:rPr>
                <w:bCs/>
                <w:color w:val="000000" w:themeColor="text1"/>
              </w:rPr>
              <w:t>с указанием наименования объекта</w:t>
            </w:r>
            <w:r>
              <w:rPr>
                <w:b/>
                <w:bCs/>
                <w:i/>
                <w:color w:val="000000" w:themeColor="text1"/>
              </w:rPr>
              <w:t>.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466" w:leader="none"/>
              </w:tabs>
              <w:spacing w:before="0" w:after="60"/>
              <w:ind w:left="785" w:hanging="360"/>
              <w:contextualSpacing/>
              <w:jc w:val="both"/>
              <w:rPr/>
            </w:pPr>
            <w:r>
              <w:rPr/>
              <w:t>Исполнительная документация оформляется в 3 экземплярах и передается: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466" w:leader="none"/>
              </w:tabs>
              <w:spacing w:before="0" w:after="60"/>
              <w:ind w:left="1505" w:hanging="360"/>
              <w:contextualSpacing/>
              <w:jc w:val="both"/>
              <w:rPr/>
            </w:pPr>
            <w:r>
              <w:rPr/>
              <w:t>1 экземпляр в соответствующий РЭС;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466" w:leader="none"/>
              </w:tabs>
              <w:spacing w:before="0" w:after="60"/>
              <w:ind w:left="1505" w:hanging="360"/>
              <w:contextualSpacing/>
              <w:jc w:val="both"/>
              <w:rPr/>
            </w:pPr>
            <w:r>
              <w:rPr/>
              <w:t>1 экземпляр в соответствующее структурное подразделение филиала «Амурские электрические сети» по акту приемки-передачи;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165" w:leader="none"/>
                <w:tab w:val="left" w:pos="466" w:leader="none"/>
              </w:tabs>
              <w:spacing w:before="0" w:after="60"/>
              <w:ind w:left="1505" w:hanging="360"/>
              <w:contextualSpacing/>
              <w:jc w:val="both"/>
              <w:rPr/>
            </w:pPr>
            <w:r>
              <w:rPr/>
              <w:t>1 экземпляр в отдел капитального строительства и инвестиций филиала АО «ДРСК» «АЭС» с подтверждающим документом, отражающим факт приемки исполнительной документации СП и РЭС в бумажном виде и полный отсканированный комплект в формате pdf.</w:t>
            </w:r>
          </w:p>
          <w:p>
            <w:pPr>
              <w:pStyle w:val="ListParagraph"/>
              <w:widowControl w:val="false"/>
              <w:tabs>
                <w:tab w:val="left" w:pos="165" w:leader="none"/>
              </w:tabs>
              <w:spacing w:before="0" w:after="60"/>
              <w:ind w:left="785" w:hanging="0"/>
              <w:contextualSpacing/>
              <w:jc w:val="both"/>
              <w:rPr/>
            </w:pPr>
            <w:r>
              <w:rPr/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553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2.3.2.</w:t>
            </w:r>
          </w:p>
        </w:tc>
        <w:tc>
          <w:tcPr>
            <w:tcW w:w="1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Cs/>
                <w:sz w:val="24"/>
                <w:szCs w:val="24"/>
              </w:rPr>
              <w:t>Требования к составу передаваемой  исполнительной технической документации</w:t>
            </w:r>
          </w:p>
        </w:tc>
        <w:tc>
          <w:tcPr>
            <w:tcW w:w="8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ListParagraph"/>
              <w:widowControl w:val="false"/>
              <w:tabs>
                <w:tab w:val="left" w:pos="607" w:leader="none"/>
                <w:tab w:val="left" w:pos="851" w:leader="none"/>
                <w:tab w:val="left" w:pos="993" w:leader="none"/>
                <w:tab w:val="left" w:pos="2167" w:leader="none"/>
              </w:tabs>
              <w:spacing w:before="0" w:after="60"/>
              <w:ind w:left="61" w:firstLine="567"/>
              <w:contextualSpacing/>
              <w:jc w:val="both"/>
              <w:rPr/>
            </w:pPr>
            <w:r>
              <w:rPr/>
              <w:t>Вместе с актами выполненных работ Заказчик передает исполнительную документацию по каждому объекту Таблицы 1 в соответствии с титулами РД в следующем кратком объеме в зависимости от типа исполнения: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spacing w:before="0" w:after="60"/>
              <w:ind w:left="40" w:firstLine="567"/>
              <w:contextualSpacing/>
              <w:jc w:val="both"/>
              <w:rPr/>
            </w:pPr>
            <w:r>
              <w:rPr/>
              <w:t>Акт технической готовности электромонтажных работ;</w:t>
              <w:tab/>
              <w:tab/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spacing w:before="0" w:after="60"/>
              <w:ind w:left="40" w:firstLine="567"/>
              <w:contextualSpacing/>
              <w:jc w:val="both"/>
              <w:rPr/>
            </w:pPr>
            <w:r>
              <w:rPr/>
              <w:t>Акт освидетельствования скрытых работ по монтажу заземляющего устройства с исполнительной схемой;</w:t>
              <w:tab/>
              <w:tab/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749" w:leader="none"/>
                <w:tab w:val="left" w:pos="993" w:leader="none"/>
              </w:tabs>
              <w:spacing w:before="0" w:after="60"/>
              <w:ind w:left="68" w:firstLine="567"/>
              <w:contextualSpacing/>
              <w:jc w:val="both"/>
              <w:rPr/>
            </w:pPr>
            <w:r>
              <w:rPr/>
              <w:t xml:space="preserve">Акт освидетельствования скрытых работ на устройство основания под опоры, по монтажу заземляющего устройства с исполнительной схемой; 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spacing w:before="0" w:after="60"/>
              <w:ind w:left="40" w:firstLine="567"/>
              <w:contextualSpacing/>
              <w:jc w:val="both"/>
              <w:rPr/>
            </w:pPr>
            <w:r>
              <w:rPr/>
              <w:t>Исполнительная документация на пересечения, сближения и параллельное следования с инженерными коммуникациями и сетями;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spacing w:before="0" w:after="60"/>
              <w:ind w:left="40" w:firstLine="567"/>
              <w:contextualSpacing/>
              <w:jc w:val="both"/>
              <w:rPr/>
            </w:pPr>
            <w:r>
              <w:rPr/>
              <w:t>Протокол измерения сопротивления заземляющего устройства;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spacing w:before="0" w:after="60"/>
              <w:ind w:left="40" w:firstLine="567"/>
              <w:contextualSpacing/>
              <w:jc w:val="both"/>
              <w:rPr/>
            </w:pPr>
            <w:r>
              <w:rPr/>
              <w:t>Протокол наличия цепи между заземлённой установкой и заземлителем;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749" w:leader="none"/>
                <w:tab w:val="left" w:pos="993" w:leader="none"/>
                <w:tab w:val="left" w:pos="1305" w:leader="none"/>
              </w:tabs>
              <w:spacing w:before="0" w:after="60"/>
              <w:ind w:left="40" w:firstLine="567"/>
              <w:contextualSpacing/>
              <w:jc w:val="both"/>
              <w:rPr/>
            </w:pPr>
            <w:r>
              <w:rPr/>
              <w:t>Паспорта и сертификаты на примененные материалы, изделия, оборудование;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749" w:leader="none"/>
                <w:tab w:val="left" w:pos="993" w:leader="none"/>
                <w:tab w:val="left" w:pos="1305" w:leader="none"/>
              </w:tabs>
              <w:spacing w:before="0" w:after="60"/>
              <w:ind w:left="40" w:firstLine="567"/>
              <w:contextualSpacing/>
              <w:jc w:val="both"/>
              <w:rPr/>
            </w:pPr>
            <w:r>
              <w:rPr/>
              <w:t>Справка об устранении выявленных замечаний (при наличии).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749" w:leader="none"/>
                <w:tab w:val="left" w:pos="993" w:leader="none"/>
                <w:tab w:val="left" w:pos="1305" w:leader="none"/>
              </w:tabs>
              <w:spacing w:before="0" w:after="60"/>
              <w:ind w:left="40" w:firstLine="567"/>
              <w:contextualSpacing/>
              <w:jc w:val="both"/>
              <w:rPr/>
            </w:pPr>
            <w:r>
              <w:rPr/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>
            <w:pPr>
              <w:pStyle w:val="ListParagraph"/>
              <w:widowControl w:val="false"/>
              <w:numPr>
                <w:ilvl w:val="1"/>
                <w:numId w:val="8"/>
              </w:numPr>
              <w:tabs>
                <w:tab w:val="left" w:pos="749" w:leader="none"/>
                <w:tab w:val="left" w:pos="993" w:leader="none"/>
                <w:tab w:val="left" w:pos="1305" w:leader="none"/>
                <w:tab w:val="left" w:pos="2167" w:leader="none"/>
              </w:tabs>
              <w:spacing w:before="0" w:after="60"/>
              <w:ind w:left="40" w:firstLine="567"/>
              <w:contextualSpacing/>
              <w:jc w:val="both"/>
              <w:rPr/>
            </w:pPr>
            <w:r>
              <w:rPr/>
              <w:t>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left" w:pos="607" w:leader="none"/>
                <w:tab w:val="left" w:pos="851" w:leader="none"/>
                <w:tab w:val="left" w:pos="993" w:leader="none"/>
                <w:tab w:val="left" w:pos="2167" w:leader="none"/>
              </w:tabs>
              <w:spacing w:before="0" w:after="60"/>
              <w:ind w:left="0" w:firstLine="457"/>
              <w:contextualSpacing/>
              <w:jc w:val="both"/>
              <w:rPr/>
            </w:pPr>
            <w:r>
              <w:rPr/>
              <w:t>. 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ind w:left="123" w:hanging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  <w:vAlign w:val="center"/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>
                <w:b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439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3.1.1</w:t>
            </w:r>
          </w:p>
        </w:tc>
        <w:tc>
          <w:tcPr>
            <w:tcW w:w="1071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tabs>
                <w:tab w:val="left" w:pos="0" w:leader="none"/>
                <w:tab w:val="left" w:pos="993" w:leader="none"/>
                <w:tab w:val="left" w:pos="1418" w:leader="none"/>
              </w:tabs>
              <w:spacing w:before="0" w:after="60"/>
              <w:contextualSpacing/>
              <w:jc w:val="both"/>
              <w:rPr/>
            </w:pPr>
            <w:r>
              <w:rPr>
                <w:sz w:val="24"/>
                <w:szCs w:val="24"/>
              </w:rPr>
              <w:t>Определены проектом договора подряда.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46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4.1.1.</w:t>
            </w:r>
          </w:p>
        </w:tc>
        <w:tc>
          <w:tcPr>
            <w:tcW w:w="1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8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left" w:pos="457" w:leader="none"/>
              </w:tabs>
              <w:spacing w:before="0" w:after="60"/>
              <w:ind w:left="0" w:firstLine="315"/>
              <w:contextualSpacing/>
              <w:jc w:val="both"/>
              <w:rPr/>
            </w:pPr>
            <w:r>
              <w:rPr>
                <w:bCs/>
              </w:rPr>
              <w:t>Порядок согласования субподрядных организаций определен разделом 2 проекта договора подряда.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left" w:pos="457" w:leader="none"/>
              </w:tabs>
              <w:spacing w:before="0" w:after="60"/>
              <w:ind w:left="0" w:firstLine="315"/>
              <w:contextualSpacing/>
              <w:jc w:val="both"/>
              <w:rPr/>
            </w:pPr>
            <w:r>
              <w:rPr>
                <w:bCs/>
              </w:rPr>
              <w:t xml:space="preserve">Объем договоров субподряда в совокупности не может превышать более чем на 30 % (тридцать процентов) от Цены Договора. 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left" w:pos="457" w:leader="none"/>
              </w:tabs>
              <w:spacing w:before="0" w:after="60"/>
              <w:ind w:left="0" w:firstLine="315"/>
              <w:contextualSpacing/>
              <w:jc w:val="both"/>
              <w:rPr/>
            </w:pPr>
            <w:r>
              <w:rPr>
                <w:bCs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63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465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both"/>
              <w:rPr/>
            </w:pPr>
            <w:r>
              <w:rPr>
                <w:b/>
                <w:bCs/>
                <w:sz w:val="24"/>
                <w:szCs w:val="24"/>
              </w:rPr>
              <w:t>Прочие требования к выполняемым работам</w:t>
            </w:r>
          </w:p>
        </w:tc>
        <w:tc>
          <w:tcPr>
            <w:tcW w:w="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2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bCs/>
                <w:sz w:val="24"/>
                <w:szCs w:val="24"/>
                <w:lang w:val="en-US"/>
              </w:rPr>
              <w:t>5.1</w:t>
            </w:r>
          </w:p>
        </w:tc>
        <w:tc>
          <w:tcPr>
            <w:tcW w:w="19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Cs/>
                <w:i/>
                <w:sz w:val="24"/>
                <w:szCs w:val="24"/>
              </w:rPr>
              <w:t>Особые условия</w:t>
            </w:r>
          </w:p>
        </w:tc>
        <w:tc>
          <w:tcPr>
            <w:tcW w:w="8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ListParagraph"/>
              <w:widowControl w:val="false"/>
              <w:tabs>
                <w:tab w:val="left" w:pos="598" w:leader="none"/>
              </w:tabs>
              <w:spacing w:before="0" w:after="60"/>
              <w:ind w:left="315" w:hanging="0"/>
              <w:contextualSpacing/>
              <w:jc w:val="both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2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98" w:type="dxa"/>
              <w:right w:w="108" w:type="dxa"/>
            </w:tcMar>
          </w:tcPr>
          <w:p>
            <w:pPr>
              <w:pStyle w:val="Normal"/>
              <w:widowControl w:val="false"/>
              <w:spacing w:before="0" w:after="120"/>
              <w:jc w:val="center"/>
              <w:rPr/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03" w:type="dxa"/>
              <w:right w:w="108" w:type="dxa"/>
            </w:tcMar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numPr>
          <w:ilvl w:val="0"/>
          <w:numId w:val="0"/>
        </w:numPr>
        <w:outlineLvl w:val="0"/>
        <w:rPr>
          <w:b/>
          <w:b/>
        </w:rPr>
      </w:pPr>
      <w:r>
        <w:rPr>
          <w:b/>
        </w:rPr>
      </w:r>
    </w:p>
    <w:p>
      <w:pPr>
        <w:pStyle w:val="Normal"/>
        <w:numPr>
          <w:ilvl w:val="0"/>
          <w:numId w:val="0"/>
        </w:numPr>
        <w:outlineLvl w:val="0"/>
        <w:rPr/>
      </w:pPr>
      <w:r>
        <w:rPr>
          <w:b/>
        </w:rPr>
        <w:t>Требования к документации по ценообразованию на этапе закупки</w:t>
      </w:r>
    </w:p>
    <w:p>
      <w:pPr>
        <w:pStyle w:val="Normal"/>
        <w:tabs>
          <w:tab w:val="left" w:pos="993" w:leader="none"/>
          <w:tab w:val="left" w:pos="3196" w:leader="none"/>
        </w:tabs>
        <w:spacing w:before="0" w:after="0"/>
        <w:ind w:left="72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"/>
        <w:numPr>
          <w:ilvl w:val="1"/>
          <w:numId w:val="4"/>
        </w:numPr>
        <w:tabs>
          <w:tab w:val="left" w:pos="567" w:leader="none"/>
        </w:tabs>
        <w:spacing w:before="120" w:after="0"/>
        <w:ind w:left="0" w:hanging="0"/>
        <w:contextualSpacing/>
        <w:rPr/>
      </w:pPr>
      <w:r>
        <w:rPr>
          <w:bCs w:val="false"/>
          <w:iCs/>
        </w:rPr>
        <w:t>В обоснование стоимости своей заявки Участник предоставляет Коммерческое предложение по форме, приведенной в Документации о закупке.</w:t>
      </w:r>
    </w:p>
    <w:p>
      <w:pPr>
        <w:pStyle w:val="4"/>
        <w:numPr>
          <w:ilvl w:val="1"/>
          <w:numId w:val="4"/>
        </w:numPr>
        <w:tabs>
          <w:tab w:val="left" w:pos="567" w:leader="none"/>
        </w:tabs>
        <w:spacing w:before="120" w:after="0"/>
        <w:ind w:left="0" w:hanging="0"/>
        <w:contextualSpacing/>
        <w:rPr/>
      </w:pPr>
      <w:r>
        <w:rPr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1"/>
        <w:numPr>
          <w:ilvl w:val="0"/>
          <w:numId w:val="4"/>
        </w:numPr>
        <w:jc w:val="center"/>
        <w:rPr>
          <w:b/>
          <w:b/>
        </w:rPr>
      </w:pPr>
      <w:r>
        <w:rPr>
          <w:b/>
        </w:rPr>
        <w:t>Требования к документации по ценообразованию на этапе заключения (исполнения) договора</w:t>
      </w:r>
    </w:p>
    <w:p>
      <w:pPr>
        <w:pStyle w:val="ListParagraph"/>
        <w:widowControl w:val="false"/>
        <w:numPr>
          <w:ilvl w:val="1"/>
          <w:numId w:val="5"/>
        </w:numPr>
        <w:tabs>
          <w:tab w:val="left" w:pos="426" w:leader="none"/>
        </w:tabs>
        <w:suppressAutoHyphens w:val="true"/>
        <w:spacing w:before="60" w:after="60"/>
        <w:ind w:left="0" w:hanging="0"/>
        <w:contextualSpacing/>
        <w:jc w:val="both"/>
        <w:rPr>
          <w:rFonts w:eastAsia="新細明體" w:eastAsiaTheme="majorEastAsia"/>
          <w:b/>
          <w:b/>
          <w:bCs/>
          <w:color w:val="000000" w:themeColor="text1"/>
        </w:rPr>
      </w:pPr>
      <w:r>
        <w:rPr>
          <w:rFonts w:eastAsia="新細明體" w:eastAsiaTheme="majorEastAsia"/>
          <w:b/>
          <w:bCs/>
          <w:color w:val="000000" w:themeColor="text1"/>
        </w:rPr>
        <w:t>Требования к составлению сметной документации (при заключении договора):</w:t>
      </w:r>
    </w:p>
    <w:p>
      <w:pPr>
        <w:pStyle w:val="Normal"/>
        <w:numPr>
          <w:ilvl w:val="2"/>
          <w:numId w:val="5"/>
        </w:numPr>
        <w:tabs>
          <w:tab w:val="left" w:pos="567" w:leader="none"/>
          <w:tab w:val="left" w:pos="851" w:leader="none"/>
        </w:tabs>
        <w:spacing w:before="60" w:after="60"/>
        <w:ind w:left="0" w:hanging="0"/>
        <w:contextualSpacing/>
        <w:jc w:val="both"/>
        <w:rPr>
          <w:rFonts w:eastAsia="新細明體" w:eastAsiaTheme="majorEastAsia"/>
          <w:bCs/>
          <w:color w:val="000000" w:themeColor="text1"/>
          <w:sz w:val="24"/>
          <w:szCs w:val="24"/>
        </w:rPr>
      </w:pPr>
      <w:r>
        <w:rPr>
          <w:rFonts w:eastAsia="新細明體" w:eastAsiaTheme="majorEastAsia"/>
          <w:bCs/>
          <w:color w:val="000000" w:themeColor="text1"/>
          <w:sz w:val="24"/>
          <w:szCs w:val="24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>
        <w:rPr>
          <w:rFonts w:eastAsia="新細明體" w:eastAsiaTheme="majorEastAsia"/>
          <w:bCs/>
          <w:sz w:val="24"/>
          <w:szCs w:val="24"/>
        </w:rPr>
        <w:t xml:space="preserve">Приложении №3 </w:t>
      </w:r>
      <w:r>
        <w:rPr>
          <w:rFonts w:eastAsia="新細明體" w:eastAsiaTheme="majorEastAsia"/>
          <w:bCs/>
          <w:color w:val="000000" w:themeColor="text1"/>
          <w:sz w:val="24"/>
          <w:szCs w:val="24"/>
        </w:rPr>
        <w:t>к настоящим Техническим требованиям, и включается в состав договора с применением понижающего коэффициента.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Normal"/>
        <w:tabs>
          <w:tab w:val="left" w:pos="709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4.1.2 Порядок расчета коэффициента:</w:t>
      </w:r>
    </w:p>
    <w:p>
      <w:pPr>
        <w:pStyle w:val="Normal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Размер понижающего коэффициента определяется по формуле:</w:t>
      </w:r>
    </w:p>
    <w:p>
      <w:pPr>
        <w:pStyle w:val="Normal"/>
        <w:ind w:left="720" w:hanging="0"/>
        <w:jc w:val="center"/>
        <w:rPr/>
      </w:pPr>
      <w:r>
        <w:fldChar w:fldCharType="begin"/>
      </w:r>
      <w:r>
        <w:instrText>QUOTE</w:instrText>
      </w:r>
      <w:r>
        <w:fldChar w:fldCharType="separate"/>
      </w:r>
      <w:bookmarkStart w:id="19" w:name="__Fieldmark__79934_1318160911"/>
      <w:r>
        <w:rPr/>
      </w:r>
      <w:r>
        <w:rPr/>
      </w:r>
      <w:r>
        <w:fldChar w:fldCharType="end"/>
      </w:r>
      <w:bookmarkStart w:id="20" w:name="__Fieldmark__1271_2751939033"/>
      <w:bookmarkStart w:id="21" w:name="__Fieldmark__1152_1639980373"/>
      <w:bookmarkStart w:id="22" w:name="__Fieldmark__1148_340392609"/>
      <w:bookmarkStart w:id="23" w:name="__Fieldmark__1263_3969696164"/>
      <w:bookmarkStart w:id="24" w:name="__Fieldmark__1145_2981343950"/>
      <w:bookmarkStart w:id="25" w:name="__Fieldmark__1148_928935269"/>
      <w:bookmarkStart w:id="26" w:name="__Fieldmark__1273_1761499997"/>
      <w:bookmarkStart w:id="27" w:name="__Fieldmark__1274_382857771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/>
        <w:drawing>
          <wp:inline distT="0" distB="0" distL="0" distR="0">
            <wp:extent cx="372110" cy="25781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25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k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P</m:t>
            </m:r>
          </m:num>
          <m:den>
            <m:r>
              <w:rPr>
                <w:rFonts w:ascii="Cambria Math" w:hAnsi="Cambria Math"/>
              </w:rPr>
              <m:t xml:space="preserve">N</m:t>
            </m:r>
          </m:den>
        </m:f>
      </m:oMath>
      <w:r>
        <w:rPr>
          <w:rFonts w:cs="Arial" w:ascii="Arial" w:hAnsi="Arial"/>
          <w:i/>
          <w:iCs/>
          <w:color w:val="000000"/>
          <w:sz w:val="18"/>
          <w:szCs w:val="18"/>
        </w:rPr>
        <w:t>,</w:t>
      </w:r>
    </w:p>
    <w:p>
      <w:pPr>
        <w:pStyle w:val="Normal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где</w:t>
      </w:r>
      <w:r>
        <w:rPr>
          <w:i/>
          <w:sz w:val="24"/>
          <w:szCs w:val="24"/>
          <w:lang w:val="en-US"/>
        </w:rPr>
        <w:t> </w:t>
      </w:r>
      <w:r>
        <w:rPr>
          <w:i/>
          <w:sz w:val="24"/>
          <w:szCs w:val="24"/>
        </w:rPr>
        <w:t>P</w:t>
      </w:r>
      <w:r>
        <w:rPr>
          <w:i/>
          <w:sz w:val="24"/>
          <w:szCs w:val="24"/>
          <w:lang w:val="en-US"/>
        </w:rPr>
        <w:t> </w:t>
      </w:r>
      <w:r>
        <w:rPr>
          <w:i/>
          <w:sz w:val="24"/>
          <w:szCs w:val="24"/>
        </w:rPr>
        <w:t>–</w:t>
      </w:r>
      <w:r>
        <w:rPr>
          <w:i/>
          <w:sz w:val="24"/>
          <w:szCs w:val="24"/>
          <w:lang w:val="en-US"/>
        </w:rPr>
        <w:t> </w:t>
      </w:r>
      <w:r>
        <w:rPr>
          <w:i/>
          <w:sz w:val="24"/>
          <w:szCs w:val="24"/>
        </w:rPr>
        <w:t>стоимость предложения Победителя;</w:t>
      </w:r>
    </w:p>
    <w:p>
      <w:pPr>
        <w:pStyle w:val="Normal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N</w:t>
      </w:r>
      <w:r>
        <w:rPr>
          <w:i/>
          <w:sz w:val="24"/>
          <w:szCs w:val="24"/>
          <w:lang w:val="en-US"/>
        </w:rPr>
        <w:t> </w:t>
      </w:r>
      <w:r>
        <w:rPr>
          <w:i/>
          <w:sz w:val="24"/>
          <w:szCs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>
      <w:pPr>
        <w:pStyle w:val="Normal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  <w:t>k</w:t>
      </w:r>
      <w:r>
        <w:rPr>
          <w:i/>
          <w:sz w:val="24"/>
          <w:szCs w:val="24"/>
          <w:lang w:val="en-US"/>
        </w:rPr>
        <w:t> </w:t>
      </w:r>
      <w:r>
        <w:rPr>
          <w:i/>
          <w:sz w:val="24"/>
          <w:szCs w:val="24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>
      <w:pPr>
        <w:pStyle w:val="Normal"/>
        <w:jc w:val="both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ListParagraph"/>
        <w:numPr>
          <w:ilvl w:val="2"/>
          <w:numId w:val="8"/>
        </w:numPr>
        <w:tabs>
          <w:tab w:val="left" w:pos="567" w:leader="none"/>
          <w:tab w:val="left" w:pos="851" w:leader="none"/>
        </w:tabs>
        <w:spacing w:before="60" w:after="60"/>
        <w:ind w:left="0" w:hanging="0"/>
        <w:contextualSpacing/>
        <w:jc w:val="both"/>
        <w:rPr>
          <w:rFonts w:eastAsia="新細明體" w:eastAsiaTheme="majorEastAsia"/>
          <w:bCs/>
          <w:color w:val="000000" w:themeColor="text1"/>
        </w:rPr>
      </w:pPr>
      <w:r>
        <w:rPr>
          <w:rFonts w:eastAsia="新細明體" w:eastAsiaTheme="majorEastAsia"/>
          <w:bCs/>
          <w:color w:val="000000" w:themeColor="text1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>
      <w:pPr>
        <w:pStyle w:val="ListParagraph"/>
        <w:ind w:left="643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left" w:pos="284" w:leader="none"/>
          <w:tab w:val="left" w:pos="993" w:leader="none"/>
        </w:tabs>
        <w:suppressAutoHyphens w:val="true"/>
        <w:rPr>
          <w:rFonts w:eastAsia="Calibri"/>
          <w:b/>
          <w:b/>
          <w:color w:val="000000"/>
          <w:sz w:val="24"/>
          <w:szCs w:val="26"/>
        </w:rPr>
      </w:pPr>
      <w:r>
        <w:rPr>
          <w:rFonts w:eastAsia="Calibri"/>
          <w:b/>
          <w:color w:val="000000"/>
          <w:sz w:val="24"/>
          <w:szCs w:val="26"/>
        </w:rPr>
        <w:t>4.2. Требования к выполнению сметных расчетов (на стадии исполнения Договора Подрядчиком):</w:t>
      </w:r>
    </w:p>
    <w:p>
      <w:pPr>
        <w:pStyle w:val="Normal"/>
        <w:tabs>
          <w:tab w:val="left" w:pos="284" w:leader="none"/>
          <w:tab w:val="left" w:pos="567" w:leader="none"/>
        </w:tabs>
        <w:suppressAutoHyphens w:val="true"/>
        <w:jc w:val="both"/>
        <w:rPr/>
      </w:pPr>
      <w:r>
        <w:rPr>
          <w:rFonts w:eastAsia="Calibri"/>
          <w:color w:val="000000"/>
          <w:sz w:val="24"/>
          <w:szCs w:val="26"/>
        </w:rPr>
        <w:t>4.2.1.В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договорными условиями и приложением № 3 к настоящему Техническому заданию «Требования к оформлению и составлению сметной документации».</w:t>
      </w:r>
    </w:p>
    <w:p>
      <w:pPr>
        <w:pStyle w:val="Normal"/>
        <w:tabs>
          <w:tab w:val="left" w:pos="284" w:leader="none"/>
          <w:tab w:val="left" w:pos="567" w:leader="none"/>
        </w:tabs>
        <w:suppressAutoHyphens w:val="true"/>
        <w:jc w:val="both"/>
        <w:rPr/>
      </w:pPr>
      <w:r>
        <w:rPr>
          <w:rFonts w:eastAsia="Calibri"/>
          <w:color w:val="000000"/>
          <w:sz w:val="24"/>
          <w:szCs w:val="26"/>
        </w:rPr>
        <w:t>4.2.2.Разработка сметной документации осуществляется при исполнении договора в соответствии с договорными условиями и приложением № 3 к настоящему Техническому заданию «Требования к оформлению и составлению сметной документации».</w:t>
      </w:r>
    </w:p>
    <w:p>
      <w:pPr>
        <w:pStyle w:val="Normal"/>
        <w:tabs>
          <w:tab w:val="left" w:pos="567" w:leader="none"/>
        </w:tabs>
        <w:suppressAutoHyphens w:val="true"/>
        <w:spacing w:before="0" w:after="0"/>
        <w:contextualSpacing/>
        <w:jc w:val="both"/>
        <w:rPr>
          <w:rFonts w:eastAsia="Calibri"/>
          <w:color w:val="000000"/>
          <w:sz w:val="24"/>
          <w:szCs w:val="26"/>
        </w:rPr>
      </w:pPr>
      <w:r>
        <w:rPr>
          <w:rFonts w:eastAsia="Calibri"/>
          <w:color w:val="000000"/>
          <w:sz w:val="24"/>
          <w:szCs w:val="26"/>
        </w:rPr>
      </w:r>
    </w:p>
    <w:p>
      <w:pPr>
        <w:pStyle w:val="ListParagraph"/>
        <w:ind w:left="643" w:hanging="0"/>
        <w:jc w:val="center"/>
        <w:rPr>
          <w:rFonts w:eastAsia="Calibri" w:eastAsiaTheme="minorHAnsi"/>
          <w:b/>
          <w:b/>
          <w:sz w:val="28"/>
          <w:szCs w:val="28"/>
          <w:lang w:eastAsia="en-US"/>
        </w:rPr>
      </w:pPr>
      <w:r>
        <w:rPr>
          <w:rFonts w:eastAsia="Calibri" w:eastAsiaTheme="minorHAnsi"/>
          <w:b/>
          <w:sz w:val="28"/>
          <w:szCs w:val="28"/>
          <w:lang w:eastAsia="en-US"/>
        </w:rPr>
      </w:r>
    </w:p>
    <w:p>
      <w:pPr>
        <w:pStyle w:val="ListParagraph"/>
        <w:ind w:left="643" w:hanging="0"/>
        <w:jc w:val="center"/>
        <w:rPr>
          <w:rFonts w:eastAsia="Calibri" w:eastAsiaTheme="minorHAnsi"/>
          <w:b/>
          <w:b/>
          <w:sz w:val="28"/>
          <w:szCs w:val="28"/>
          <w:lang w:eastAsia="en-US"/>
        </w:rPr>
      </w:pPr>
      <w:r>
        <w:rPr>
          <w:rFonts w:eastAsia="Calibri" w:eastAsiaTheme="minorHAnsi"/>
          <w:b/>
          <w:sz w:val="28"/>
          <w:szCs w:val="28"/>
          <w:lang w:eastAsia="en-US"/>
        </w:rPr>
        <w:t>5. Приложения</w:t>
      </w:r>
    </w:p>
    <w:p>
      <w:pPr>
        <w:pStyle w:val="ListParagraph"/>
        <w:ind w:left="643" w:hanging="0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Normal"/>
        <w:jc w:val="both"/>
        <w:rPr/>
      </w:pPr>
      <w:r>
        <w:rPr>
          <w:i/>
          <w:sz w:val="24"/>
          <w:szCs w:val="24"/>
        </w:rPr>
        <w:t xml:space="preserve">Приложение № 1: Ведомость объемов работ </w:t>
      </w:r>
      <w:r>
        <w:rPr>
          <w:i/>
          <w:color w:val="000000"/>
          <w:sz w:val="22"/>
          <w:szCs w:val="22"/>
        </w:rPr>
        <w:t>Реконструкция ВЛ 0,4 кВ от ВЛ 10 кВ Ф №9 ПС 220 кВ Энергия;</w:t>
      </w:r>
    </w:p>
    <w:p>
      <w:pPr>
        <w:pStyle w:val="Normal"/>
        <w:tabs>
          <w:tab w:val="left" w:pos="567" w:leader="none"/>
        </w:tabs>
        <w:jc w:val="both"/>
        <w:rPr/>
      </w:pPr>
      <w:r>
        <w:rPr>
          <w:i/>
          <w:sz w:val="24"/>
          <w:szCs w:val="24"/>
        </w:rPr>
        <w:t xml:space="preserve">Приложение № 2: Ведомость объемов работ </w:t>
      </w:r>
      <w:r>
        <w:rPr>
          <w:i/>
          <w:sz w:val="22"/>
          <w:szCs w:val="26"/>
        </w:rPr>
        <w:t>Реконструкция ВЛ-0,4 кВ с. Сосновый Бор;</w:t>
      </w:r>
    </w:p>
    <w:p>
      <w:pPr>
        <w:pStyle w:val="Normal"/>
        <w:tabs>
          <w:tab w:val="left" w:pos="567" w:leader="none"/>
        </w:tabs>
        <w:jc w:val="both"/>
        <w:rPr/>
      </w:pPr>
      <w:r>
        <w:rPr>
          <w:i/>
          <w:sz w:val="24"/>
          <w:szCs w:val="24"/>
        </w:rPr>
        <w:t>Приложение № 3: Требования к оформлению и составлению документации по ценообразованию (сметной документации);</w:t>
      </w:r>
    </w:p>
    <w:p>
      <w:pPr>
        <w:pStyle w:val="Normal"/>
        <w:tabs>
          <w:tab w:val="left" w:pos="567" w:leader="none"/>
        </w:tabs>
        <w:jc w:val="both"/>
        <w:rPr/>
      </w:pPr>
      <w:r>
        <w:rPr>
          <w:i/>
          <w:sz w:val="24"/>
          <w:szCs w:val="24"/>
        </w:rPr>
        <w:t>Приложение № 4: Сметная документация;</w:t>
      </w:r>
    </w:p>
    <w:p>
      <w:pPr>
        <w:pStyle w:val="Normal"/>
        <w:tabs>
          <w:tab w:val="left" w:pos="567" w:leader="none"/>
        </w:tabs>
        <w:jc w:val="both"/>
        <w:rPr/>
      </w:pPr>
      <w:r>
        <w:rPr>
          <w:i/>
          <w:sz w:val="24"/>
          <w:szCs w:val="24"/>
        </w:rPr>
        <w:t>Приложение №5: Проектная документация.</w:t>
      </w:r>
    </w:p>
    <w:p>
      <w:pPr>
        <w:pStyle w:val="Normal"/>
        <w:tabs>
          <w:tab w:val="left" w:pos="567" w:leader="none"/>
        </w:tabs>
        <w:jc w:val="both"/>
        <w:rPr/>
      </w:pPr>
      <w:r>
        <w:rPr>
          <w:i/>
          <w:sz w:val="24"/>
          <w:szCs w:val="24"/>
        </w:rPr>
        <w:t>Приложение №6: Техническое задание.</w:t>
      </w:r>
    </w:p>
    <w:sectPr>
      <w:headerReference w:type="default" r:id="rId4"/>
      <w:type w:val="nextPage"/>
      <w:pgSz w:orient="landscape" w:w="16838" w:h="11906"/>
      <w:pgMar w:left="709" w:right="851" w:header="709" w:top="1276" w:footer="0" w:bottom="709" w:gutter="0"/>
      <w:pgNumType w:fmt="decimal"/>
      <w:formProt w:val="false"/>
      <w:textDirection w:val="lrTb"/>
      <w:docGrid w:type="default" w:linePitch="381" w:charSpace="429495295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default"/>
  </w:font>
  <w:font w:name="Times New Roman">
    <w:charset w:val="01"/>
    <w:family w:val="auto"/>
    <w:pitch w:val="variable"/>
  </w:font>
  <w:font w:name="Wingdings">
    <w:charset w:val="02"/>
    <w:family w:val="auto"/>
    <w:pitch w:val="default"/>
  </w:font>
  <w:font w:name="Courier New">
    <w:charset w:val="01"/>
    <w:family w:val="auto"/>
    <w:pitch w:val="fixed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4</w:t>
    </w:r>
    <w: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16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4"/>
      <w:numFmt w:val="decimal"/>
      <w:lvlText w:val="%2."/>
      <w:lvlJc w:val="left"/>
      <w:pPr>
        <w:ind w:left="858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i w:val="false"/>
        <w:b/>
        <w:color w:val="00000A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i w:val="false"/>
        <w:b/>
        <w:color w:val="00000A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4"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rFonts w:cs="Symbol"/>
      </w:rPr>
    </w:lvl>
    <w:lvl w:ilvl="1">
      <w:start w:val="9"/>
      <w:numFmt w:val="bullet"/>
      <w:lvlText w:val="•"/>
      <w:lvlJc w:val="left"/>
      <w:pPr>
        <w:ind w:left="2149" w:hanging="360"/>
      </w:pPr>
      <w:rPr>
        <w:rFonts w:ascii="Times New Roman" w:hAnsi="Times New Roman" w:cs="Times New Roman" w:hint="default"/>
        <w:rFonts w:cs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8"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40" w:hanging="480"/>
      </w:pPr>
    </w:lvl>
    <w:lvl w:ilvl="2">
      <w:start w:val="3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rFonts w:cs="Symbol"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 w:val="false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i w:val="false"/>
        <w:b/>
        <w:rFonts w:cs="Wingdings"/>
        <w:color w:val="00000A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b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b/>
        <w:rFonts w:cs="Symbol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Times New Roman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Times New Roman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Symbol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Courier New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uiPriority="99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23bd0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ru-RU" w:bidi="ar-SA"/>
    </w:rPr>
  </w:style>
  <w:style w:type="paragraph" w:styleId="1">
    <w:name w:val="Heading 1"/>
    <w:basedOn w:val="3"/>
    <w:link w:val="11"/>
    <w:qFormat/>
    <w:rsid w:val="00353a27"/>
    <w:pPr>
      <w:ind w:left="5038" w:hanging="0"/>
      <w:outlineLvl w:val="0"/>
    </w:pPr>
    <w:rPr>
      <w:sz w:val="28"/>
      <w:szCs w:val="28"/>
    </w:rPr>
  </w:style>
  <w:style w:type="paragraph" w:styleId="2">
    <w:name w:val="Heading 2"/>
    <w:basedOn w:val="4"/>
    <w:link w:val="21"/>
    <w:qFormat/>
    <w:rsid w:val="00ea61a8"/>
    <w:pPr>
      <w:numPr>
        <w:ilvl w:val="0"/>
        <w:numId w:val="0"/>
      </w:numPr>
      <w:ind w:firstLine="567"/>
      <w:outlineLvl w:val="1"/>
    </w:pPr>
    <w:rPr/>
  </w:style>
  <w:style w:type="paragraph" w:styleId="3">
    <w:name w:val="Heading 3"/>
    <w:basedOn w:val="Normal"/>
    <w:link w:val="31"/>
    <w:autoRedefine/>
    <w:qFormat/>
    <w:rsid w:val="00d94d9f"/>
    <w:pPr>
      <w:keepNext w:val="true"/>
      <w:spacing w:before="0" w:after="60"/>
      <w:ind w:firstLine="567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basedOn w:val="3"/>
    <w:link w:val="40"/>
    <w:qFormat/>
    <w:rsid w:val="006629c9"/>
    <w:pPr>
      <w:numPr>
        <w:ilvl w:val="1"/>
        <w:numId w:val="1"/>
      </w:numPr>
      <w:outlineLvl w:val="1"/>
    </w:pPr>
    <w:rPr>
      <w:bCs/>
    </w:rPr>
  </w:style>
  <w:style w:type="paragraph" w:styleId="5">
    <w:name w:val="Heading 5"/>
    <w:basedOn w:val="Normal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link w:val="60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link w:val="70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link w:val="80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5" w:customStyle="1">
    <w:name w:val="Интернет-ссылка"/>
    <w:rsid w:val="006c2f3f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1" w:customStyle="1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link w:val="10"/>
    <w:qFormat/>
    <w:rsid w:val="00353a27"/>
    <w:rPr>
      <w:rFonts w:eastAsia="Calibri"/>
      <w:sz w:val="28"/>
      <w:szCs w:val="28"/>
      <w:lang w:eastAsia="x-none"/>
    </w:rPr>
  </w:style>
  <w:style w:type="character" w:styleId="21" w:customStyle="1">
    <w:name w:val="Заголовок 2 Знак"/>
    <w:qFormat/>
    <w:rsid w:val="00ea61a8"/>
    <w:rPr>
      <w:rFonts w:eastAsia="Calibri"/>
      <w:bCs/>
      <w:sz w:val="24"/>
      <w:szCs w:val="24"/>
      <w:lang w:eastAsia="x-none"/>
    </w:rPr>
  </w:style>
  <w:style w:type="character" w:styleId="31" w:customStyle="1">
    <w:name w:val="Заголовок 3 Знак"/>
    <w:link w:val="30"/>
    <w:qFormat/>
    <w:rsid w:val="00d94d9f"/>
    <w:rPr>
      <w:rFonts w:eastAsia="Calibri"/>
      <w:sz w:val="24"/>
      <w:szCs w:val="24"/>
      <w:lang w:eastAsia="x-none"/>
    </w:rPr>
  </w:style>
  <w:style w:type="character" w:styleId="41" w:customStyle="1">
    <w:name w:val="Заголовок 4 Знак"/>
    <w:link w:val="4"/>
    <w:uiPriority w:val="9"/>
    <w:qFormat/>
    <w:rsid w:val="006629c9"/>
    <w:rPr>
      <w:rFonts w:eastAsia="Calibri"/>
      <w:bCs/>
      <w:sz w:val="24"/>
      <w:szCs w:val="24"/>
      <w:lang w:eastAsia="x-none"/>
    </w:rPr>
  </w:style>
  <w:style w:type="character" w:styleId="51" w:customStyle="1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6" w:customStyle="1">
    <w:name w:val="Название Знак"/>
    <w:link w:val="12"/>
    <w:uiPriority w:val="10"/>
    <w:qFormat/>
    <w:rsid w:val="00d22f6d"/>
    <w:rPr>
      <w:sz w:val="28"/>
    </w:rPr>
  </w:style>
  <w:style w:type="character" w:styleId="Style7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8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9" w:customStyle="1">
    <w:name w:val="Выделенная цитата Знак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0" w:customStyle="1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styleId="111" w:customStyle="1">
    <w:name w:val="Заголовок 1 Знак1"/>
    <w:link w:val="1"/>
    <w:qFormat/>
    <w:locked/>
    <w:rsid w:val="00d22f6d"/>
    <w:rPr>
      <w:sz w:val="28"/>
    </w:rPr>
  </w:style>
  <w:style w:type="character" w:styleId="Style11" w:customStyle="1">
    <w:name w:val="Текст сноски Знак"/>
    <w:uiPriority w:val="99"/>
    <w:qFormat/>
    <w:rsid w:val="00d22f6d"/>
    <w:rPr/>
  </w:style>
  <w:style w:type="character" w:styleId="Style12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3" w:customStyle="1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styleId="Style14" w:customStyle="1">
    <w:name w:val="комментарий"/>
    <w:qFormat/>
    <w:rsid w:val="0025139e"/>
    <w:rPr>
      <w:i/>
      <w:shd w:fill="FFFF99" w:val="clear"/>
    </w:rPr>
  </w:style>
  <w:style w:type="character" w:styleId="Style15" w:customStyle="1">
    <w:name w:val="Подподпункт Знак"/>
    <w:qFormat/>
    <w:locked/>
    <w:rsid w:val="0025139e"/>
    <w:rPr>
      <w:sz w:val="26"/>
      <w:szCs w:val="26"/>
    </w:rPr>
  </w:style>
  <w:style w:type="character" w:styleId="311" w:customStyle="1">
    <w:name w:val="Заголовок 3 Знак1"/>
    <w:link w:val="3"/>
    <w:qFormat/>
    <w:rsid w:val="00b56f46"/>
    <w:rPr>
      <w:rFonts w:eastAsia="Calibri"/>
      <w:sz w:val="26"/>
      <w:szCs w:val="28"/>
      <w:lang w:eastAsia="en-US"/>
    </w:rPr>
  </w:style>
  <w:style w:type="character" w:styleId="Style16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7" w:customStyle="1">
    <w:name w:val="Текст примечания Знак"/>
    <w:qFormat/>
    <w:rsid w:val="00dc0f7d"/>
    <w:rPr/>
  </w:style>
  <w:style w:type="character" w:styleId="Style18" w:customStyle="1">
    <w:name w:val="Текст концевой сноски Знак"/>
    <w:basedOn w:val="DefaultParagraphFont"/>
    <w:qFormat/>
    <w:rsid w:val="003879d4"/>
    <w:rPr/>
  </w:style>
  <w:style w:type="character" w:styleId="Endnotereference">
    <w:name w:val="endnote reference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link w:val="a7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33"/>
    <w:qFormat/>
    <w:rsid w:val="00c36f30"/>
    <w:rPr>
      <w:sz w:val="16"/>
      <w:szCs w:val="16"/>
    </w:rPr>
  </w:style>
  <w:style w:type="character" w:styleId="Hl" w:customStyle="1">
    <w:name w:val="hl"/>
    <w:basedOn w:val="DefaultParagraphFont"/>
    <w:qFormat/>
    <w:rsid w:val="009400f6"/>
    <w:rPr/>
  </w:style>
  <w:style w:type="character" w:styleId="Style19" w:customStyle="1">
    <w:name w:val="Текст выноски Знак"/>
    <w:semiHidden/>
    <w:qFormat/>
    <w:rsid w:val="006f3ea6"/>
    <w:rPr>
      <w:rFonts w:ascii="Tahoma" w:hAnsi="Tahoma" w:cs="Tahoma"/>
      <w:sz w:val="16"/>
      <w:szCs w:val="16"/>
    </w:rPr>
  </w:style>
  <w:style w:type="character" w:styleId="Applestylespan" w:customStyle="1">
    <w:name w:val="apple-style-span"/>
    <w:basedOn w:val="DefaultParagraphFont"/>
    <w:qFormat/>
    <w:rsid w:val="006f3ea6"/>
    <w:rPr/>
  </w:style>
  <w:style w:type="character" w:styleId="Appleconvertedspace" w:customStyle="1">
    <w:name w:val="apple-converted-space"/>
    <w:basedOn w:val="DefaultParagraphFont"/>
    <w:qFormat/>
    <w:rsid w:val="006f3ea6"/>
    <w:rPr/>
  </w:style>
  <w:style w:type="character" w:styleId="Style20" w:customStyle="1">
    <w:name w:val="Нижний колонтитул Знак"/>
    <w:basedOn w:val="DefaultParagraphFont"/>
    <w:uiPriority w:val="99"/>
    <w:qFormat/>
    <w:rsid w:val="006f3ea6"/>
    <w:rPr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qFormat/>
    <w:rsid w:val="006f3ea6"/>
    <w:rPr/>
  </w:style>
  <w:style w:type="character" w:styleId="Style21" w:customStyle="1">
    <w:name w:val="Схема документа Знак"/>
    <w:basedOn w:val="DefaultParagraphFont"/>
    <w:uiPriority w:val="99"/>
    <w:semiHidden/>
    <w:qFormat/>
    <w:rsid w:val="006f3ea6"/>
    <w:rPr>
      <w:rFonts w:ascii="Tahoma" w:hAnsi="Tahoma" w:cs="Tahoma"/>
      <w:sz w:val="16"/>
      <w:szCs w:val="16"/>
    </w:rPr>
  </w:style>
  <w:style w:type="character" w:styleId="Style22" w:customStyle="1">
    <w:name w:val="Тема примечания Знак"/>
    <w:semiHidden/>
    <w:qFormat/>
    <w:rsid w:val="006f3ea6"/>
    <w:rPr>
      <w:b/>
      <w:bCs/>
    </w:rPr>
  </w:style>
  <w:style w:type="character" w:styleId="Style23" w:customStyle="1">
    <w:name w:val="Основной текст с отступом Знак"/>
    <w:qFormat/>
    <w:rsid w:val="006f3ea6"/>
    <w:rPr>
      <w:sz w:val="24"/>
      <w:szCs w:val="24"/>
    </w:rPr>
  </w:style>
  <w:style w:type="character" w:styleId="1111" w:customStyle="1">
    <w:name w:val="УРОВЕНЬ_1.1.1. Знак"/>
    <w:link w:val="111"/>
    <w:qFormat/>
    <w:rsid w:val="006f3ea6"/>
    <w:rPr>
      <w:rFonts w:eastAsia="Calibri"/>
      <w:sz w:val="26"/>
      <w:szCs w:val="28"/>
      <w:lang w:eastAsia="en-US"/>
    </w:rPr>
  </w:style>
  <w:style w:type="character" w:styleId="33" w:customStyle="1">
    <w:name w:val="Список мн 3 Знак"/>
    <w:uiPriority w:val="99"/>
    <w:qFormat/>
    <w:rsid w:val="006f3ea6"/>
    <w:rPr>
      <w:spacing w:val="-4"/>
      <w:sz w:val="24"/>
      <w:szCs w:val="24"/>
      <w:shd w:fill="FFFFFF" w:val="clear"/>
      <w:lang w:val="x-none" w:eastAsia="x-none"/>
    </w:rPr>
  </w:style>
  <w:style w:type="character" w:styleId="ConsPlusNormal" w:customStyle="1">
    <w:name w:val="ConsPlusNormal Знак"/>
    <w:link w:val="ConsPlusNormal"/>
    <w:qFormat/>
    <w:rsid w:val="00f2264b"/>
    <w:rPr>
      <w:rFonts w:ascii="Arial" w:hAnsi="Arial" w:cs="Arial"/>
    </w:rPr>
  </w:style>
  <w:style w:type="character" w:styleId="ListLabel1" w:customStyle="1">
    <w:name w:val="ListLabel 1"/>
    <w:qFormat/>
    <w:rPr>
      <w:rFonts w:eastAsia="Times New Roman" w:cs="Times New Roman"/>
    </w:rPr>
  </w:style>
  <w:style w:type="character" w:styleId="ListLabel2" w:customStyle="1">
    <w:name w:val="ListLabel 2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70C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3" w:customStyle="1">
    <w:name w:val="ListLabel 3"/>
    <w:qFormat/>
    <w:rPr>
      <w:b/>
      <w:bCs/>
      <w:i w:val="false"/>
      <w:iCs/>
      <w:sz w:val="24"/>
      <w:szCs w:val="24"/>
    </w:rPr>
  </w:style>
  <w:style w:type="character" w:styleId="ListLabel4" w:customStyle="1">
    <w:name w:val="ListLabel 4"/>
    <w:qFormat/>
    <w:rPr>
      <w:b w:val="false"/>
      <w:lang w:val="ru-RU"/>
    </w:rPr>
  </w:style>
  <w:style w:type="character" w:styleId="ListLabel5" w:customStyle="1">
    <w:name w:val="ListLabel 5"/>
    <w:qFormat/>
    <w:rPr>
      <w:sz w:val="28"/>
    </w:rPr>
  </w:style>
  <w:style w:type="character" w:styleId="ListLabel6" w:customStyle="1">
    <w:name w:val="ListLabel 6"/>
    <w:qFormat/>
    <w:rPr>
      <w:rFonts w:cs="Times New Roman"/>
    </w:rPr>
  </w:style>
  <w:style w:type="character" w:styleId="ListLabel7" w:customStyle="1">
    <w:name w:val="ListLabel 7"/>
    <w:qFormat/>
    <w:rPr>
      <w:b/>
      <w:i w:val="false"/>
      <w:color w:val="00000A"/>
    </w:rPr>
  </w:style>
  <w:style w:type="character" w:styleId="ListLabel8" w:customStyle="1">
    <w:name w:val="ListLabel 8"/>
    <w:qFormat/>
    <w:rPr>
      <w:b/>
      <w:color w:val="00000A"/>
    </w:rPr>
  </w:style>
  <w:style w:type="character" w:styleId="ListLabel9" w:customStyle="1">
    <w:name w:val="ListLabel 9"/>
    <w:qFormat/>
    <w:rPr>
      <w:b w:val="false"/>
    </w:rPr>
  </w:style>
  <w:style w:type="character" w:styleId="ListLabel10" w:customStyle="1">
    <w:name w:val="ListLabel 10"/>
    <w:qFormat/>
    <w:rPr>
      <w:b/>
      <w:i w:val="false"/>
      <w:color w:val="00000A"/>
    </w:rPr>
  </w:style>
  <w:style w:type="character" w:styleId="ListLabel11" w:customStyle="1">
    <w:name w:val="ListLabel 11"/>
    <w:qFormat/>
    <w:rPr>
      <w:b/>
    </w:rPr>
  </w:style>
  <w:style w:type="character" w:styleId="ListLabel12" w:customStyle="1">
    <w:name w:val="ListLabel 12"/>
    <w:qFormat/>
    <w:rPr>
      <w:rFonts w:cs="Courier New"/>
    </w:rPr>
  </w:style>
  <w:style w:type="character" w:styleId="ListLabel13" w:customStyle="1">
    <w:name w:val="ListLabel 13"/>
    <w:qFormat/>
    <w:rPr>
      <w:rFonts w:cs="Courier New"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Courier New"/>
    </w:rPr>
  </w:style>
  <w:style w:type="character" w:styleId="ListLabel17" w:customStyle="1">
    <w:name w:val="ListLabel 17"/>
    <w:qFormat/>
    <w:rPr>
      <w:rFonts w:cs="Courier New"/>
    </w:rPr>
  </w:style>
  <w:style w:type="character" w:styleId="ListLabel18" w:customStyle="1">
    <w:name w:val="ListLabel 18"/>
    <w:qFormat/>
    <w:rPr>
      <w:rFonts w:eastAsia="Times New Roman" w:cs="Times New Roman"/>
    </w:rPr>
  </w:style>
  <w:style w:type="character" w:styleId="ListLabel19" w:customStyle="1">
    <w:name w:val="ListLabel 19"/>
    <w:qFormat/>
    <w:rPr>
      <w:rFonts w:eastAsia="Times New Roman" w:cs="Times New Roman"/>
    </w:rPr>
  </w:style>
  <w:style w:type="character" w:styleId="ListLabel20" w:customStyle="1">
    <w:name w:val="ListLabel 20"/>
    <w:qFormat/>
    <w:rPr>
      <w:rFonts w:cs="Courier New"/>
    </w:rPr>
  </w:style>
  <w:style w:type="character" w:styleId="ListLabel21" w:customStyle="1">
    <w:name w:val="ListLabel 21"/>
    <w:qFormat/>
    <w:rPr>
      <w:rFonts w:cs="Courier New"/>
    </w:rPr>
  </w:style>
  <w:style w:type="character" w:styleId="ListLabel22" w:customStyle="1">
    <w:name w:val="ListLabel 22"/>
    <w:qFormat/>
    <w:rPr>
      <w:rFonts w:eastAsia="Times New Roman" w:cs="Times New Roman"/>
    </w:rPr>
  </w:style>
  <w:style w:type="character" w:styleId="ListLabel23" w:customStyle="1">
    <w:name w:val="ListLabel 23"/>
    <w:qFormat/>
    <w:rPr>
      <w:rFonts w:cs="Courier New"/>
    </w:rPr>
  </w:style>
  <w:style w:type="character" w:styleId="ListLabel24" w:customStyle="1">
    <w:name w:val="ListLabel 24"/>
    <w:qFormat/>
    <w:rPr>
      <w:rFonts w:cs="Courier New"/>
    </w:rPr>
  </w:style>
  <w:style w:type="character" w:styleId="ListLabel25" w:customStyle="1">
    <w:name w:val="ListLabel 25"/>
    <w:qFormat/>
    <w:rPr>
      <w:rFonts w:cs="Courier New"/>
    </w:rPr>
  </w:style>
  <w:style w:type="character" w:styleId="ListLabel26" w:customStyle="1">
    <w:name w:val="ListLabel 26"/>
    <w:qFormat/>
    <w:rPr>
      <w:rFonts w:cs="Courier New"/>
    </w:rPr>
  </w:style>
  <w:style w:type="character" w:styleId="ListLabel27" w:customStyle="1">
    <w:name w:val="ListLabel 27"/>
    <w:qFormat/>
    <w:rPr>
      <w:rFonts w:cs="Courier New"/>
    </w:rPr>
  </w:style>
  <w:style w:type="character" w:styleId="ListLabel28" w:customStyle="1">
    <w:name w:val="ListLabel 28"/>
    <w:qFormat/>
    <w:rPr>
      <w:rFonts w:cs="Courier New"/>
    </w:rPr>
  </w:style>
  <w:style w:type="character" w:styleId="ListLabel29" w:customStyle="1">
    <w:name w:val="ListLabel 29"/>
    <w:qFormat/>
    <w:rPr>
      <w:rFonts w:cs="Courier New"/>
    </w:rPr>
  </w:style>
  <w:style w:type="character" w:styleId="ListLabel30" w:customStyle="1">
    <w:name w:val="ListLabel 30"/>
    <w:qFormat/>
    <w:rPr>
      <w:rFonts w:cs="Courier New"/>
    </w:rPr>
  </w:style>
  <w:style w:type="character" w:styleId="ListLabel31" w:customStyle="1">
    <w:name w:val="ListLabel 31"/>
    <w:qFormat/>
    <w:rPr>
      <w:b/>
      <w:sz w:val="28"/>
    </w:rPr>
  </w:style>
  <w:style w:type="character" w:styleId="ListLabel32" w:customStyle="1">
    <w:name w:val="ListLabel 32"/>
    <w:qFormat/>
    <w:rPr>
      <w:b/>
    </w:rPr>
  </w:style>
  <w:style w:type="character" w:styleId="ListLabel33" w:customStyle="1">
    <w:name w:val="ListLabel 33"/>
    <w:qFormat/>
    <w:rPr>
      <w:b w:val="false"/>
    </w:rPr>
  </w:style>
  <w:style w:type="character" w:styleId="ListLabel34" w:customStyle="1">
    <w:name w:val="ListLabel 34"/>
    <w:qFormat/>
    <w:rPr>
      <w:b w:val="false"/>
    </w:rPr>
  </w:style>
  <w:style w:type="character" w:styleId="ListLabel35" w:customStyle="1">
    <w:name w:val="ListLabel 35"/>
    <w:qFormat/>
    <w:rPr>
      <w:b w:val="false"/>
    </w:rPr>
  </w:style>
  <w:style w:type="character" w:styleId="ListLabel36" w:customStyle="1">
    <w:name w:val="ListLabel 36"/>
    <w:qFormat/>
    <w:rPr>
      <w:b w:val="false"/>
    </w:rPr>
  </w:style>
  <w:style w:type="character" w:styleId="ListLabel37" w:customStyle="1">
    <w:name w:val="ListLabel 37"/>
    <w:qFormat/>
    <w:rPr>
      <w:b w:val="false"/>
    </w:rPr>
  </w:style>
  <w:style w:type="character" w:styleId="ListLabel38" w:customStyle="1">
    <w:name w:val="ListLabel 38"/>
    <w:qFormat/>
    <w:rPr>
      <w:b w:val="false"/>
    </w:rPr>
  </w:style>
  <w:style w:type="character" w:styleId="ListLabel39" w:customStyle="1">
    <w:name w:val="ListLabel 39"/>
    <w:qFormat/>
    <w:rPr>
      <w:b w:val="false"/>
    </w:rPr>
  </w:style>
  <w:style w:type="character" w:styleId="Style24" w:customStyle="1">
    <w:name w:val="Символ сноски"/>
    <w:qFormat/>
    <w:rPr/>
  </w:style>
  <w:style w:type="character" w:styleId="Style25" w:customStyle="1">
    <w:name w:val="Ссылка указателя"/>
    <w:qFormat/>
    <w:rPr/>
  </w:style>
  <w:style w:type="character" w:styleId="ListLabel40" w:customStyle="1">
    <w:name w:val="ListLabel 40"/>
    <w:qFormat/>
    <w:rPr>
      <w:b/>
      <w:bCs/>
      <w:i w:val="false"/>
      <w:iCs/>
      <w:sz w:val="24"/>
      <w:szCs w:val="24"/>
    </w:rPr>
  </w:style>
  <w:style w:type="character" w:styleId="ListLabel41" w:customStyle="1">
    <w:name w:val="ListLabel 41"/>
    <w:qFormat/>
    <w:rPr>
      <w:b/>
      <w:i w:val="false"/>
      <w:color w:val="00000A"/>
    </w:rPr>
  </w:style>
  <w:style w:type="character" w:styleId="ListLabel42" w:customStyle="1">
    <w:name w:val="ListLabel 42"/>
    <w:qFormat/>
    <w:rPr>
      <w:b/>
      <w:color w:val="00000A"/>
    </w:rPr>
  </w:style>
  <w:style w:type="character" w:styleId="ListLabel43" w:customStyle="1">
    <w:name w:val="ListLabel 43"/>
    <w:qFormat/>
    <w:rPr>
      <w:b w:val="false"/>
    </w:rPr>
  </w:style>
  <w:style w:type="character" w:styleId="ListLabel44" w:customStyle="1">
    <w:name w:val="ListLabel 44"/>
    <w:qFormat/>
    <w:rPr>
      <w:b/>
      <w:i w:val="false"/>
      <w:color w:val="00000A"/>
    </w:rPr>
  </w:style>
  <w:style w:type="character" w:styleId="ListLabel45" w:customStyle="1">
    <w:name w:val="ListLabel 45"/>
    <w:qFormat/>
    <w:rPr>
      <w:b/>
    </w:rPr>
  </w:style>
  <w:style w:type="character" w:styleId="ListLabel46" w:customStyle="1">
    <w:name w:val="ListLabel 46"/>
    <w:qFormat/>
    <w:rPr>
      <w:rFonts w:cs="Symbol"/>
      <w:b/>
    </w:rPr>
  </w:style>
  <w:style w:type="character" w:styleId="ListLabel47" w:customStyle="1">
    <w:name w:val="ListLabel 47"/>
    <w:qFormat/>
    <w:rPr>
      <w:rFonts w:cs="Times New Roman"/>
    </w:rPr>
  </w:style>
  <w:style w:type="character" w:styleId="ListLabel48" w:customStyle="1">
    <w:name w:val="ListLabel 48"/>
    <w:qFormat/>
    <w:rPr>
      <w:rFonts w:cs="Times New Roman"/>
    </w:rPr>
  </w:style>
  <w:style w:type="character" w:styleId="ListLabel49" w:customStyle="1">
    <w:name w:val="ListLabel 49"/>
    <w:qFormat/>
    <w:rPr>
      <w:rFonts w:cs="Symbol"/>
    </w:rPr>
  </w:style>
  <w:style w:type="character" w:styleId="ListLabel50" w:customStyle="1">
    <w:name w:val="ListLabel 50"/>
    <w:qFormat/>
    <w:rPr>
      <w:rFonts w:cs="Courier New"/>
    </w:rPr>
  </w:style>
  <w:style w:type="character" w:styleId="ListLabel51" w:customStyle="1">
    <w:name w:val="ListLabel 51"/>
    <w:qFormat/>
    <w:rPr>
      <w:rFonts w:cs="Wingdings"/>
    </w:rPr>
  </w:style>
  <w:style w:type="character" w:styleId="ListLabel52" w:customStyle="1">
    <w:name w:val="ListLabel 52"/>
    <w:qFormat/>
    <w:rPr>
      <w:rFonts w:cs="Symbol"/>
    </w:rPr>
  </w:style>
  <w:style w:type="character" w:styleId="ListLabel53" w:customStyle="1">
    <w:name w:val="ListLabel 53"/>
    <w:qFormat/>
    <w:rPr>
      <w:rFonts w:cs="Courier New"/>
    </w:rPr>
  </w:style>
  <w:style w:type="character" w:styleId="ListLabel54" w:customStyle="1">
    <w:name w:val="ListLabel 54"/>
    <w:qFormat/>
    <w:rPr>
      <w:rFonts w:cs="Wingdings"/>
    </w:rPr>
  </w:style>
  <w:style w:type="character" w:styleId="ListLabel55" w:customStyle="1">
    <w:name w:val="ListLabel 55"/>
    <w:qFormat/>
    <w:rPr>
      <w:rFonts w:cs="Symbol"/>
    </w:rPr>
  </w:style>
  <w:style w:type="character" w:styleId="ListLabel56" w:customStyle="1">
    <w:name w:val="ListLabel 56"/>
    <w:qFormat/>
    <w:rPr>
      <w:rFonts w:cs="Times New Roman"/>
    </w:rPr>
  </w:style>
  <w:style w:type="character" w:styleId="ListLabel57" w:customStyle="1">
    <w:name w:val="ListLabel 57"/>
    <w:qFormat/>
    <w:rPr>
      <w:rFonts w:cs="Wingdings"/>
    </w:rPr>
  </w:style>
  <w:style w:type="character" w:styleId="ListLabel58" w:customStyle="1">
    <w:name w:val="ListLabel 58"/>
    <w:qFormat/>
    <w:rPr>
      <w:rFonts w:cs="Symbol"/>
    </w:rPr>
  </w:style>
  <w:style w:type="character" w:styleId="ListLabel59" w:customStyle="1">
    <w:name w:val="ListLabel 59"/>
    <w:qFormat/>
    <w:rPr>
      <w:rFonts w:cs="Courier New"/>
    </w:rPr>
  </w:style>
  <w:style w:type="character" w:styleId="ListLabel60" w:customStyle="1">
    <w:name w:val="ListLabel 60"/>
    <w:qFormat/>
    <w:rPr>
      <w:rFonts w:cs="Wingdings"/>
    </w:rPr>
  </w:style>
  <w:style w:type="character" w:styleId="ListLabel61" w:customStyle="1">
    <w:name w:val="ListLabel 61"/>
    <w:qFormat/>
    <w:rPr>
      <w:rFonts w:cs="Symbol"/>
    </w:rPr>
  </w:style>
  <w:style w:type="character" w:styleId="ListLabel62" w:customStyle="1">
    <w:name w:val="ListLabel 62"/>
    <w:qFormat/>
    <w:rPr>
      <w:rFonts w:cs="Courier New"/>
    </w:rPr>
  </w:style>
  <w:style w:type="character" w:styleId="ListLabel63" w:customStyle="1">
    <w:name w:val="ListLabel 63"/>
    <w:qFormat/>
    <w:rPr>
      <w:rFonts w:cs="Wingdings"/>
    </w:rPr>
  </w:style>
  <w:style w:type="character" w:styleId="ListLabel64" w:customStyle="1">
    <w:name w:val="ListLabel 64"/>
    <w:qFormat/>
    <w:rPr>
      <w:rFonts w:cs="Symbol"/>
      <w:b/>
    </w:rPr>
  </w:style>
  <w:style w:type="character" w:styleId="ListLabel65" w:customStyle="1">
    <w:name w:val="ListLabel 65"/>
    <w:qFormat/>
    <w:rPr>
      <w:rFonts w:cs="Courier New"/>
    </w:rPr>
  </w:style>
  <w:style w:type="character" w:styleId="ListLabel66" w:customStyle="1">
    <w:name w:val="ListLabel 66"/>
    <w:qFormat/>
    <w:rPr>
      <w:rFonts w:cs="Wingdings"/>
    </w:rPr>
  </w:style>
  <w:style w:type="character" w:styleId="ListLabel67" w:customStyle="1">
    <w:name w:val="ListLabel 67"/>
    <w:qFormat/>
    <w:rPr>
      <w:rFonts w:cs="Symbol"/>
    </w:rPr>
  </w:style>
  <w:style w:type="character" w:styleId="ListLabel68" w:customStyle="1">
    <w:name w:val="ListLabel 68"/>
    <w:qFormat/>
    <w:rPr>
      <w:rFonts w:cs="Courier New"/>
    </w:rPr>
  </w:style>
  <w:style w:type="character" w:styleId="ListLabel69" w:customStyle="1">
    <w:name w:val="ListLabel 69"/>
    <w:qFormat/>
    <w:rPr>
      <w:rFonts w:cs="Wingdings"/>
    </w:rPr>
  </w:style>
  <w:style w:type="character" w:styleId="ListLabel70" w:customStyle="1">
    <w:name w:val="ListLabel 70"/>
    <w:qFormat/>
    <w:rPr>
      <w:rFonts w:cs="Symbol"/>
    </w:rPr>
  </w:style>
  <w:style w:type="character" w:styleId="ListLabel71" w:customStyle="1">
    <w:name w:val="ListLabel 71"/>
    <w:qFormat/>
    <w:rPr>
      <w:rFonts w:cs="Courier New"/>
    </w:rPr>
  </w:style>
  <w:style w:type="character" w:styleId="ListLabel72" w:customStyle="1">
    <w:name w:val="ListLabel 72"/>
    <w:qFormat/>
    <w:rPr>
      <w:rFonts w:cs="Wingdings"/>
    </w:rPr>
  </w:style>
  <w:style w:type="character" w:styleId="ListLabel73" w:customStyle="1">
    <w:name w:val="ListLabel 73"/>
    <w:qFormat/>
    <w:rPr>
      <w:b/>
      <w:bCs/>
      <w:i w:val="false"/>
      <w:iCs/>
      <w:sz w:val="24"/>
      <w:szCs w:val="24"/>
    </w:rPr>
  </w:style>
  <w:style w:type="character" w:styleId="ListLabel74" w:customStyle="1">
    <w:name w:val="ListLabel 74"/>
    <w:qFormat/>
    <w:rPr>
      <w:b/>
      <w:i w:val="false"/>
      <w:color w:val="00000A"/>
    </w:rPr>
  </w:style>
  <w:style w:type="character" w:styleId="ListLabel75" w:customStyle="1">
    <w:name w:val="ListLabel 75"/>
    <w:qFormat/>
    <w:rPr>
      <w:b/>
      <w:color w:val="00000A"/>
    </w:rPr>
  </w:style>
  <w:style w:type="character" w:styleId="ListLabel76" w:customStyle="1">
    <w:name w:val="ListLabel 76"/>
    <w:qFormat/>
    <w:rPr>
      <w:b w:val="false"/>
    </w:rPr>
  </w:style>
  <w:style w:type="character" w:styleId="ListLabel77" w:customStyle="1">
    <w:name w:val="ListLabel 77"/>
    <w:qFormat/>
    <w:rPr>
      <w:b/>
      <w:i w:val="false"/>
      <w:color w:val="00000A"/>
    </w:rPr>
  </w:style>
  <w:style w:type="character" w:styleId="ListLabel78" w:customStyle="1">
    <w:name w:val="ListLabel 78"/>
    <w:qFormat/>
    <w:rPr>
      <w:b/>
    </w:rPr>
  </w:style>
  <w:style w:type="character" w:styleId="ListLabel79" w:customStyle="1">
    <w:name w:val="ListLabel 79"/>
    <w:qFormat/>
    <w:rPr>
      <w:rFonts w:cs="Symbol"/>
      <w:b/>
    </w:rPr>
  </w:style>
  <w:style w:type="character" w:styleId="ListLabel80" w:customStyle="1">
    <w:name w:val="ListLabel 80"/>
    <w:qFormat/>
    <w:rPr>
      <w:rFonts w:cs="Times New Roman"/>
    </w:rPr>
  </w:style>
  <w:style w:type="character" w:styleId="ListLabel81" w:customStyle="1">
    <w:name w:val="ListLabel 81"/>
    <w:qFormat/>
    <w:rPr>
      <w:rFonts w:cs="Times New Roman"/>
    </w:rPr>
  </w:style>
  <w:style w:type="character" w:styleId="ListLabel82" w:customStyle="1">
    <w:name w:val="ListLabel 82"/>
    <w:qFormat/>
    <w:rPr>
      <w:rFonts w:cs="Symbol"/>
    </w:rPr>
  </w:style>
  <w:style w:type="character" w:styleId="ListLabel83" w:customStyle="1">
    <w:name w:val="ListLabel 83"/>
    <w:qFormat/>
    <w:rPr>
      <w:rFonts w:cs="Courier New"/>
    </w:rPr>
  </w:style>
  <w:style w:type="character" w:styleId="ListLabel84" w:customStyle="1">
    <w:name w:val="ListLabel 84"/>
    <w:qFormat/>
    <w:rPr>
      <w:rFonts w:cs="Wingdings"/>
    </w:rPr>
  </w:style>
  <w:style w:type="character" w:styleId="ListLabel85" w:customStyle="1">
    <w:name w:val="ListLabel 85"/>
    <w:qFormat/>
    <w:rPr>
      <w:rFonts w:cs="Symbol"/>
    </w:rPr>
  </w:style>
  <w:style w:type="character" w:styleId="ListLabel86" w:customStyle="1">
    <w:name w:val="ListLabel 86"/>
    <w:qFormat/>
    <w:rPr>
      <w:rFonts w:cs="Courier New"/>
    </w:rPr>
  </w:style>
  <w:style w:type="character" w:styleId="ListLabel87" w:customStyle="1">
    <w:name w:val="ListLabel 87"/>
    <w:qFormat/>
    <w:rPr>
      <w:rFonts w:cs="Wingdings"/>
    </w:rPr>
  </w:style>
  <w:style w:type="character" w:styleId="ListLabel88" w:customStyle="1">
    <w:name w:val="ListLabel 88"/>
    <w:qFormat/>
    <w:rPr>
      <w:rFonts w:cs="Symbol"/>
    </w:rPr>
  </w:style>
  <w:style w:type="character" w:styleId="ListLabel89" w:customStyle="1">
    <w:name w:val="ListLabel 89"/>
    <w:qFormat/>
    <w:rPr>
      <w:rFonts w:cs="Times New Roman"/>
    </w:rPr>
  </w:style>
  <w:style w:type="character" w:styleId="ListLabel90" w:customStyle="1">
    <w:name w:val="ListLabel 90"/>
    <w:qFormat/>
    <w:rPr>
      <w:rFonts w:cs="Wingdings"/>
    </w:rPr>
  </w:style>
  <w:style w:type="character" w:styleId="ListLabel91" w:customStyle="1">
    <w:name w:val="ListLabel 91"/>
    <w:qFormat/>
    <w:rPr>
      <w:rFonts w:cs="Symbol"/>
    </w:rPr>
  </w:style>
  <w:style w:type="character" w:styleId="ListLabel92" w:customStyle="1">
    <w:name w:val="ListLabel 92"/>
    <w:qFormat/>
    <w:rPr>
      <w:rFonts w:cs="Courier New"/>
    </w:rPr>
  </w:style>
  <w:style w:type="character" w:styleId="ListLabel93" w:customStyle="1">
    <w:name w:val="ListLabel 93"/>
    <w:qFormat/>
    <w:rPr>
      <w:rFonts w:cs="Wingdings"/>
    </w:rPr>
  </w:style>
  <w:style w:type="character" w:styleId="ListLabel94" w:customStyle="1">
    <w:name w:val="ListLabel 94"/>
    <w:qFormat/>
    <w:rPr>
      <w:rFonts w:cs="Symbol"/>
    </w:rPr>
  </w:style>
  <w:style w:type="character" w:styleId="ListLabel95" w:customStyle="1">
    <w:name w:val="ListLabel 95"/>
    <w:qFormat/>
    <w:rPr>
      <w:rFonts w:cs="Courier New"/>
    </w:rPr>
  </w:style>
  <w:style w:type="character" w:styleId="ListLabel96" w:customStyle="1">
    <w:name w:val="ListLabel 96"/>
    <w:qFormat/>
    <w:rPr>
      <w:rFonts w:cs="Wingdings"/>
    </w:rPr>
  </w:style>
  <w:style w:type="character" w:styleId="ListLabel97" w:customStyle="1">
    <w:name w:val="ListLabel 97"/>
    <w:qFormat/>
    <w:rPr>
      <w:rFonts w:cs="Symbol"/>
      <w:b/>
    </w:rPr>
  </w:style>
  <w:style w:type="character" w:styleId="ListLabel98" w:customStyle="1">
    <w:name w:val="ListLabel 98"/>
    <w:qFormat/>
    <w:rPr>
      <w:rFonts w:cs="Courier New"/>
    </w:rPr>
  </w:style>
  <w:style w:type="character" w:styleId="ListLabel99" w:customStyle="1">
    <w:name w:val="ListLabel 99"/>
    <w:qFormat/>
    <w:rPr>
      <w:rFonts w:cs="Wingdings"/>
    </w:rPr>
  </w:style>
  <w:style w:type="character" w:styleId="ListLabel100" w:customStyle="1">
    <w:name w:val="ListLabel 100"/>
    <w:qFormat/>
    <w:rPr>
      <w:rFonts w:cs="Symbol"/>
    </w:rPr>
  </w:style>
  <w:style w:type="character" w:styleId="ListLabel101" w:customStyle="1">
    <w:name w:val="ListLabel 101"/>
    <w:qFormat/>
    <w:rPr>
      <w:rFonts w:cs="Courier New"/>
    </w:rPr>
  </w:style>
  <w:style w:type="character" w:styleId="ListLabel102" w:customStyle="1">
    <w:name w:val="ListLabel 102"/>
    <w:qFormat/>
    <w:rPr>
      <w:rFonts w:cs="Wingdings"/>
    </w:rPr>
  </w:style>
  <w:style w:type="character" w:styleId="ListLabel103" w:customStyle="1">
    <w:name w:val="ListLabel 103"/>
    <w:qFormat/>
    <w:rPr>
      <w:rFonts w:cs="Symbol"/>
    </w:rPr>
  </w:style>
  <w:style w:type="character" w:styleId="ListLabel104" w:customStyle="1">
    <w:name w:val="ListLabel 104"/>
    <w:qFormat/>
    <w:rPr>
      <w:rFonts w:cs="Courier New"/>
    </w:rPr>
  </w:style>
  <w:style w:type="character" w:styleId="ListLabel105" w:customStyle="1">
    <w:name w:val="ListLabel 105"/>
    <w:qFormat/>
    <w:rPr>
      <w:rFonts w:cs="Wingdings"/>
    </w:rPr>
  </w:style>
  <w:style w:type="character" w:styleId="ListLabel106" w:customStyle="1">
    <w:name w:val="ListLabel 106"/>
    <w:qFormat/>
    <w:rPr>
      <w:b/>
      <w:bCs/>
      <w:i w:val="false"/>
      <w:iCs/>
      <w:sz w:val="24"/>
      <w:szCs w:val="24"/>
    </w:rPr>
  </w:style>
  <w:style w:type="character" w:styleId="ListLabel107" w:customStyle="1">
    <w:name w:val="ListLabel 107"/>
    <w:qFormat/>
    <w:rPr>
      <w:b/>
      <w:i w:val="false"/>
      <w:color w:val="00000A"/>
    </w:rPr>
  </w:style>
  <w:style w:type="character" w:styleId="ListLabel108" w:customStyle="1">
    <w:name w:val="ListLabel 108"/>
    <w:qFormat/>
    <w:rPr>
      <w:b/>
      <w:color w:val="00000A"/>
    </w:rPr>
  </w:style>
  <w:style w:type="character" w:styleId="ListLabel109" w:customStyle="1">
    <w:name w:val="ListLabel 109"/>
    <w:qFormat/>
    <w:rPr>
      <w:b w:val="false"/>
    </w:rPr>
  </w:style>
  <w:style w:type="character" w:styleId="ListLabel110" w:customStyle="1">
    <w:name w:val="ListLabel 110"/>
    <w:qFormat/>
    <w:rPr>
      <w:b/>
      <w:i w:val="false"/>
      <w:color w:val="00000A"/>
    </w:rPr>
  </w:style>
  <w:style w:type="character" w:styleId="ListLabel111" w:customStyle="1">
    <w:name w:val="ListLabel 111"/>
    <w:qFormat/>
    <w:rPr>
      <w:b/>
    </w:rPr>
  </w:style>
  <w:style w:type="character" w:styleId="ListLabel112" w:customStyle="1">
    <w:name w:val="ListLabel 112"/>
    <w:qFormat/>
    <w:rPr>
      <w:rFonts w:cs="Symbol"/>
      <w:b/>
    </w:rPr>
  </w:style>
  <w:style w:type="character" w:styleId="ListLabel113" w:customStyle="1">
    <w:name w:val="ListLabel 113"/>
    <w:qFormat/>
    <w:rPr>
      <w:rFonts w:cs="Times New Roman"/>
    </w:rPr>
  </w:style>
  <w:style w:type="character" w:styleId="ListLabel114" w:customStyle="1">
    <w:name w:val="ListLabel 114"/>
    <w:qFormat/>
    <w:rPr>
      <w:rFonts w:cs="Times New Roman"/>
    </w:rPr>
  </w:style>
  <w:style w:type="character" w:styleId="ListLabel115" w:customStyle="1">
    <w:name w:val="ListLabel 115"/>
    <w:qFormat/>
    <w:rPr>
      <w:rFonts w:cs="Symbol"/>
    </w:rPr>
  </w:style>
  <w:style w:type="character" w:styleId="ListLabel116" w:customStyle="1">
    <w:name w:val="ListLabel 116"/>
    <w:qFormat/>
    <w:rPr>
      <w:rFonts w:cs="Courier New"/>
    </w:rPr>
  </w:style>
  <w:style w:type="character" w:styleId="ListLabel117" w:customStyle="1">
    <w:name w:val="ListLabel 117"/>
    <w:qFormat/>
    <w:rPr>
      <w:rFonts w:cs="Wingdings"/>
    </w:rPr>
  </w:style>
  <w:style w:type="character" w:styleId="ListLabel118" w:customStyle="1">
    <w:name w:val="ListLabel 118"/>
    <w:qFormat/>
    <w:rPr>
      <w:rFonts w:cs="Symbol"/>
    </w:rPr>
  </w:style>
  <w:style w:type="character" w:styleId="ListLabel119" w:customStyle="1">
    <w:name w:val="ListLabel 119"/>
    <w:qFormat/>
    <w:rPr>
      <w:rFonts w:cs="Courier New"/>
    </w:rPr>
  </w:style>
  <w:style w:type="character" w:styleId="ListLabel120" w:customStyle="1">
    <w:name w:val="ListLabel 120"/>
    <w:qFormat/>
    <w:rPr>
      <w:rFonts w:cs="Wingdings"/>
    </w:rPr>
  </w:style>
  <w:style w:type="character" w:styleId="ListLabel121" w:customStyle="1">
    <w:name w:val="ListLabel 121"/>
    <w:qFormat/>
    <w:rPr>
      <w:rFonts w:cs="Symbol"/>
    </w:rPr>
  </w:style>
  <w:style w:type="character" w:styleId="ListLabel122" w:customStyle="1">
    <w:name w:val="ListLabel 122"/>
    <w:qFormat/>
    <w:rPr>
      <w:rFonts w:cs="Times New Roman"/>
    </w:rPr>
  </w:style>
  <w:style w:type="character" w:styleId="ListLabel123" w:customStyle="1">
    <w:name w:val="ListLabel 123"/>
    <w:qFormat/>
    <w:rPr>
      <w:rFonts w:cs="Wingdings"/>
    </w:rPr>
  </w:style>
  <w:style w:type="character" w:styleId="ListLabel124" w:customStyle="1">
    <w:name w:val="ListLabel 124"/>
    <w:qFormat/>
    <w:rPr>
      <w:rFonts w:cs="Symbol"/>
    </w:rPr>
  </w:style>
  <w:style w:type="character" w:styleId="ListLabel125" w:customStyle="1">
    <w:name w:val="ListLabel 125"/>
    <w:qFormat/>
    <w:rPr>
      <w:rFonts w:cs="Courier New"/>
    </w:rPr>
  </w:style>
  <w:style w:type="character" w:styleId="ListLabel126" w:customStyle="1">
    <w:name w:val="ListLabel 126"/>
    <w:qFormat/>
    <w:rPr>
      <w:rFonts w:cs="Wingdings"/>
    </w:rPr>
  </w:style>
  <w:style w:type="character" w:styleId="ListLabel127" w:customStyle="1">
    <w:name w:val="ListLabel 127"/>
    <w:qFormat/>
    <w:rPr>
      <w:rFonts w:cs="Symbol"/>
    </w:rPr>
  </w:style>
  <w:style w:type="character" w:styleId="ListLabel128" w:customStyle="1">
    <w:name w:val="ListLabel 128"/>
    <w:qFormat/>
    <w:rPr>
      <w:rFonts w:cs="Courier New"/>
    </w:rPr>
  </w:style>
  <w:style w:type="character" w:styleId="ListLabel129" w:customStyle="1">
    <w:name w:val="ListLabel 129"/>
    <w:qFormat/>
    <w:rPr>
      <w:rFonts w:cs="Wingdings"/>
    </w:rPr>
  </w:style>
  <w:style w:type="character" w:styleId="ListLabel130" w:customStyle="1">
    <w:name w:val="ListLabel 130"/>
    <w:qFormat/>
    <w:rPr>
      <w:rFonts w:cs="Symbol"/>
      <w:b/>
    </w:rPr>
  </w:style>
  <w:style w:type="character" w:styleId="ListLabel131" w:customStyle="1">
    <w:name w:val="ListLabel 131"/>
    <w:qFormat/>
    <w:rPr>
      <w:rFonts w:cs="Courier New"/>
    </w:rPr>
  </w:style>
  <w:style w:type="character" w:styleId="ListLabel132" w:customStyle="1">
    <w:name w:val="ListLabel 132"/>
    <w:qFormat/>
    <w:rPr>
      <w:rFonts w:cs="Wingdings"/>
    </w:rPr>
  </w:style>
  <w:style w:type="character" w:styleId="ListLabel133" w:customStyle="1">
    <w:name w:val="ListLabel 133"/>
    <w:qFormat/>
    <w:rPr>
      <w:rFonts w:cs="Symbol"/>
    </w:rPr>
  </w:style>
  <w:style w:type="character" w:styleId="ListLabel134" w:customStyle="1">
    <w:name w:val="ListLabel 134"/>
    <w:qFormat/>
    <w:rPr>
      <w:rFonts w:cs="Courier New"/>
    </w:rPr>
  </w:style>
  <w:style w:type="character" w:styleId="ListLabel135" w:customStyle="1">
    <w:name w:val="ListLabel 135"/>
    <w:qFormat/>
    <w:rPr>
      <w:rFonts w:cs="Wingdings"/>
    </w:rPr>
  </w:style>
  <w:style w:type="character" w:styleId="ListLabel136" w:customStyle="1">
    <w:name w:val="ListLabel 136"/>
    <w:qFormat/>
    <w:rPr>
      <w:rFonts w:cs="Symbol"/>
    </w:rPr>
  </w:style>
  <w:style w:type="character" w:styleId="ListLabel137" w:customStyle="1">
    <w:name w:val="ListLabel 137"/>
    <w:qFormat/>
    <w:rPr>
      <w:rFonts w:cs="Courier New"/>
    </w:rPr>
  </w:style>
  <w:style w:type="character" w:styleId="ListLabel138" w:customStyle="1">
    <w:name w:val="ListLabel 138"/>
    <w:qFormat/>
    <w:rPr>
      <w:rFonts w:cs="Wingdings"/>
    </w:rPr>
  </w:style>
  <w:style w:type="character" w:styleId="ListLabel139" w:customStyle="1">
    <w:name w:val="ListLabel 139"/>
    <w:qFormat/>
    <w:rPr>
      <w:b/>
      <w:bCs/>
      <w:i w:val="false"/>
      <w:iCs/>
      <w:sz w:val="24"/>
      <w:szCs w:val="24"/>
    </w:rPr>
  </w:style>
  <w:style w:type="character" w:styleId="ListLabel140" w:customStyle="1">
    <w:name w:val="ListLabel 140"/>
    <w:qFormat/>
    <w:rPr>
      <w:b/>
      <w:i w:val="false"/>
      <w:color w:val="00000A"/>
    </w:rPr>
  </w:style>
  <w:style w:type="character" w:styleId="ListLabel141" w:customStyle="1">
    <w:name w:val="ListLabel 141"/>
    <w:qFormat/>
    <w:rPr>
      <w:b/>
      <w:color w:val="00000A"/>
    </w:rPr>
  </w:style>
  <w:style w:type="character" w:styleId="ListLabel142" w:customStyle="1">
    <w:name w:val="ListLabel 142"/>
    <w:qFormat/>
    <w:rPr>
      <w:b w:val="false"/>
    </w:rPr>
  </w:style>
  <w:style w:type="character" w:styleId="ListLabel143" w:customStyle="1">
    <w:name w:val="ListLabel 143"/>
    <w:qFormat/>
    <w:rPr>
      <w:b/>
      <w:i w:val="false"/>
      <w:color w:val="00000A"/>
    </w:rPr>
  </w:style>
  <w:style w:type="character" w:styleId="ListLabel144" w:customStyle="1">
    <w:name w:val="ListLabel 144"/>
    <w:qFormat/>
    <w:rPr>
      <w:b/>
    </w:rPr>
  </w:style>
  <w:style w:type="character" w:styleId="ListLabel145" w:customStyle="1">
    <w:name w:val="ListLabel 145"/>
    <w:qFormat/>
    <w:rPr>
      <w:rFonts w:cs="Symbol"/>
      <w:b/>
    </w:rPr>
  </w:style>
  <w:style w:type="character" w:styleId="ListLabel146" w:customStyle="1">
    <w:name w:val="ListLabel 146"/>
    <w:qFormat/>
    <w:rPr>
      <w:rFonts w:cs="Times New Roman"/>
    </w:rPr>
  </w:style>
  <w:style w:type="character" w:styleId="ListLabel147" w:customStyle="1">
    <w:name w:val="ListLabel 147"/>
    <w:qFormat/>
    <w:rPr>
      <w:rFonts w:cs="Times New Roman"/>
    </w:rPr>
  </w:style>
  <w:style w:type="character" w:styleId="ListLabel148" w:customStyle="1">
    <w:name w:val="ListLabel 148"/>
    <w:qFormat/>
    <w:rPr>
      <w:rFonts w:cs="Symbol"/>
    </w:rPr>
  </w:style>
  <w:style w:type="character" w:styleId="ListLabel149" w:customStyle="1">
    <w:name w:val="ListLabel 149"/>
    <w:qFormat/>
    <w:rPr>
      <w:rFonts w:cs="Courier New"/>
    </w:rPr>
  </w:style>
  <w:style w:type="character" w:styleId="ListLabel150" w:customStyle="1">
    <w:name w:val="ListLabel 150"/>
    <w:qFormat/>
    <w:rPr>
      <w:rFonts w:cs="Wingdings"/>
    </w:rPr>
  </w:style>
  <w:style w:type="character" w:styleId="ListLabel151" w:customStyle="1">
    <w:name w:val="ListLabel 151"/>
    <w:qFormat/>
    <w:rPr>
      <w:rFonts w:cs="Symbol"/>
    </w:rPr>
  </w:style>
  <w:style w:type="character" w:styleId="ListLabel152" w:customStyle="1">
    <w:name w:val="ListLabel 152"/>
    <w:qFormat/>
    <w:rPr>
      <w:rFonts w:cs="Courier New"/>
    </w:rPr>
  </w:style>
  <w:style w:type="character" w:styleId="ListLabel153" w:customStyle="1">
    <w:name w:val="ListLabel 153"/>
    <w:qFormat/>
    <w:rPr>
      <w:rFonts w:cs="Wingdings"/>
    </w:rPr>
  </w:style>
  <w:style w:type="character" w:styleId="ListLabel154" w:customStyle="1">
    <w:name w:val="ListLabel 154"/>
    <w:qFormat/>
    <w:rPr>
      <w:rFonts w:cs="Symbol"/>
    </w:rPr>
  </w:style>
  <w:style w:type="character" w:styleId="ListLabel155" w:customStyle="1">
    <w:name w:val="ListLabel 155"/>
    <w:qFormat/>
    <w:rPr>
      <w:rFonts w:cs="Times New Roman"/>
    </w:rPr>
  </w:style>
  <w:style w:type="character" w:styleId="ListLabel156" w:customStyle="1">
    <w:name w:val="ListLabel 156"/>
    <w:qFormat/>
    <w:rPr>
      <w:rFonts w:cs="Wingdings"/>
    </w:rPr>
  </w:style>
  <w:style w:type="character" w:styleId="ListLabel157" w:customStyle="1">
    <w:name w:val="ListLabel 157"/>
    <w:qFormat/>
    <w:rPr>
      <w:rFonts w:cs="Symbol"/>
    </w:rPr>
  </w:style>
  <w:style w:type="character" w:styleId="ListLabel158" w:customStyle="1">
    <w:name w:val="ListLabel 158"/>
    <w:qFormat/>
    <w:rPr>
      <w:rFonts w:cs="Courier New"/>
    </w:rPr>
  </w:style>
  <w:style w:type="character" w:styleId="ListLabel159" w:customStyle="1">
    <w:name w:val="ListLabel 159"/>
    <w:qFormat/>
    <w:rPr>
      <w:rFonts w:cs="Wingdings"/>
    </w:rPr>
  </w:style>
  <w:style w:type="character" w:styleId="ListLabel160" w:customStyle="1">
    <w:name w:val="ListLabel 160"/>
    <w:qFormat/>
    <w:rPr>
      <w:rFonts w:cs="Symbol"/>
    </w:rPr>
  </w:style>
  <w:style w:type="character" w:styleId="ListLabel161" w:customStyle="1">
    <w:name w:val="ListLabel 161"/>
    <w:qFormat/>
    <w:rPr>
      <w:rFonts w:cs="Courier New"/>
    </w:rPr>
  </w:style>
  <w:style w:type="character" w:styleId="ListLabel162" w:customStyle="1">
    <w:name w:val="ListLabel 162"/>
    <w:qFormat/>
    <w:rPr>
      <w:rFonts w:cs="Wingdings"/>
    </w:rPr>
  </w:style>
  <w:style w:type="character" w:styleId="ListLabel163" w:customStyle="1">
    <w:name w:val="ListLabel 163"/>
    <w:qFormat/>
    <w:rPr>
      <w:rFonts w:cs="Symbol"/>
      <w:b/>
    </w:rPr>
  </w:style>
  <w:style w:type="character" w:styleId="ListLabel164" w:customStyle="1">
    <w:name w:val="ListLabel 164"/>
    <w:qFormat/>
    <w:rPr>
      <w:rFonts w:cs="Courier New"/>
    </w:rPr>
  </w:style>
  <w:style w:type="character" w:styleId="ListLabel165" w:customStyle="1">
    <w:name w:val="ListLabel 165"/>
    <w:qFormat/>
    <w:rPr>
      <w:rFonts w:cs="Wingdings"/>
    </w:rPr>
  </w:style>
  <w:style w:type="character" w:styleId="ListLabel166" w:customStyle="1">
    <w:name w:val="ListLabel 166"/>
    <w:qFormat/>
    <w:rPr>
      <w:rFonts w:cs="Symbol"/>
    </w:rPr>
  </w:style>
  <w:style w:type="character" w:styleId="ListLabel167" w:customStyle="1">
    <w:name w:val="ListLabel 167"/>
    <w:qFormat/>
    <w:rPr>
      <w:rFonts w:cs="Courier New"/>
    </w:rPr>
  </w:style>
  <w:style w:type="character" w:styleId="ListLabel168" w:customStyle="1">
    <w:name w:val="ListLabel 168"/>
    <w:qFormat/>
    <w:rPr>
      <w:rFonts w:cs="Wingdings"/>
    </w:rPr>
  </w:style>
  <w:style w:type="character" w:styleId="ListLabel169" w:customStyle="1">
    <w:name w:val="ListLabel 169"/>
    <w:qFormat/>
    <w:rPr>
      <w:rFonts w:cs="Symbol"/>
    </w:rPr>
  </w:style>
  <w:style w:type="character" w:styleId="ListLabel170" w:customStyle="1">
    <w:name w:val="ListLabel 170"/>
    <w:qFormat/>
    <w:rPr>
      <w:rFonts w:cs="Courier New"/>
    </w:rPr>
  </w:style>
  <w:style w:type="character" w:styleId="ListLabel171" w:customStyle="1">
    <w:name w:val="ListLabel 171"/>
    <w:qFormat/>
    <w:rPr>
      <w:rFonts w:cs="Wingdings"/>
    </w:rPr>
  </w:style>
  <w:style w:type="character" w:styleId="ListLabel172" w:customStyle="1">
    <w:name w:val="ListLabel 172"/>
    <w:qFormat/>
    <w:rPr>
      <w:b/>
      <w:bCs/>
      <w:i w:val="false"/>
      <w:iCs/>
      <w:sz w:val="24"/>
      <w:szCs w:val="24"/>
    </w:rPr>
  </w:style>
  <w:style w:type="character" w:styleId="ListLabel173" w:customStyle="1">
    <w:name w:val="ListLabel 173"/>
    <w:qFormat/>
    <w:rPr>
      <w:b/>
      <w:i w:val="false"/>
      <w:color w:val="00000A"/>
    </w:rPr>
  </w:style>
  <w:style w:type="character" w:styleId="ListLabel174" w:customStyle="1">
    <w:name w:val="ListLabel 174"/>
    <w:qFormat/>
    <w:rPr>
      <w:b/>
      <w:color w:val="00000A"/>
    </w:rPr>
  </w:style>
  <w:style w:type="character" w:styleId="ListLabel175" w:customStyle="1">
    <w:name w:val="ListLabel 175"/>
    <w:qFormat/>
    <w:rPr>
      <w:b w:val="false"/>
    </w:rPr>
  </w:style>
  <w:style w:type="character" w:styleId="ListLabel176" w:customStyle="1">
    <w:name w:val="ListLabel 176"/>
    <w:qFormat/>
    <w:rPr>
      <w:b/>
      <w:i w:val="false"/>
      <w:color w:val="00000A"/>
    </w:rPr>
  </w:style>
  <w:style w:type="character" w:styleId="ListLabel177" w:customStyle="1">
    <w:name w:val="ListLabel 177"/>
    <w:qFormat/>
    <w:rPr>
      <w:b/>
    </w:rPr>
  </w:style>
  <w:style w:type="character" w:styleId="ListLabel178" w:customStyle="1">
    <w:name w:val="ListLabel 178"/>
    <w:qFormat/>
    <w:rPr>
      <w:rFonts w:cs="Symbol"/>
    </w:rPr>
  </w:style>
  <w:style w:type="character" w:styleId="ListLabel179" w:customStyle="1">
    <w:name w:val="ListLabel 179"/>
    <w:qFormat/>
    <w:rPr>
      <w:rFonts w:cs="Times New Roman"/>
    </w:rPr>
  </w:style>
  <w:style w:type="character" w:styleId="ListLabel180" w:customStyle="1">
    <w:name w:val="ListLabel 180"/>
    <w:qFormat/>
    <w:rPr>
      <w:rFonts w:cs="Wingdings"/>
    </w:rPr>
  </w:style>
  <w:style w:type="character" w:styleId="ListLabel181" w:customStyle="1">
    <w:name w:val="ListLabel 181"/>
    <w:qFormat/>
    <w:rPr>
      <w:rFonts w:cs="Symbol"/>
    </w:rPr>
  </w:style>
  <w:style w:type="character" w:styleId="ListLabel182" w:customStyle="1">
    <w:name w:val="ListLabel 182"/>
    <w:qFormat/>
    <w:rPr>
      <w:rFonts w:cs="Courier New"/>
    </w:rPr>
  </w:style>
  <w:style w:type="character" w:styleId="ListLabel183" w:customStyle="1">
    <w:name w:val="ListLabel 183"/>
    <w:qFormat/>
    <w:rPr>
      <w:rFonts w:cs="Wingdings"/>
    </w:rPr>
  </w:style>
  <w:style w:type="character" w:styleId="ListLabel184" w:customStyle="1">
    <w:name w:val="ListLabel 184"/>
    <w:qFormat/>
    <w:rPr>
      <w:rFonts w:cs="Symbol"/>
    </w:rPr>
  </w:style>
  <w:style w:type="character" w:styleId="ListLabel185" w:customStyle="1">
    <w:name w:val="ListLabel 185"/>
    <w:qFormat/>
    <w:rPr>
      <w:rFonts w:cs="Courier New"/>
    </w:rPr>
  </w:style>
  <w:style w:type="character" w:styleId="ListLabel186" w:customStyle="1">
    <w:name w:val="ListLabel 186"/>
    <w:qFormat/>
    <w:rPr>
      <w:rFonts w:cs="Wingdings"/>
    </w:rPr>
  </w:style>
  <w:style w:type="character" w:styleId="ListLabel187" w:customStyle="1">
    <w:name w:val="ListLabel 187"/>
    <w:qFormat/>
    <w:rPr>
      <w:rFonts w:cs="Symbol"/>
      <w:b/>
    </w:rPr>
  </w:style>
  <w:style w:type="character" w:styleId="ListLabel188" w:customStyle="1">
    <w:name w:val="ListLabel 188"/>
    <w:qFormat/>
    <w:rPr>
      <w:rFonts w:cs="Courier New"/>
    </w:rPr>
  </w:style>
  <w:style w:type="character" w:styleId="ListLabel189" w:customStyle="1">
    <w:name w:val="ListLabel 189"/>
    <w:qFormat/>
    <w:rPr>
      <w:rFonts w:cs="Wingdings"/>
    </w:rPr>
  </w:style>
  <w:style w:type="character" w:styleId="ListLabel190" w:customStyle="1">
    <w:name w:val="ListLabel 190"/>
    <w:qFormat/>
    <w:rPr>
      <w:rFonts w:cs="Symbol"/>
    </w:rPr>
  </w:style>
  <w:style w:type="character" w:styleId="ListLabel191" w:customStyle="1">
    <w:name w:val="ListLabel 191"/>
    <w:qFormat/>
    <w:rPr>
      <w:rFonts w:cs="Courier New"/>
    </w:rPr>
  </w:style>
  <w:style w:type="character" w:styleId="ListLabel192" w:customStyle="1">
    <w:name w:val="ListLabel 192"/>
    <w:qFormat/>
    <w:rPr>
      <w:rFonts w:cs="Wingdings"/>
    </w:rPr>
  </w:style>
  <w:style w:type="character" w:styleId="ListLabel193" w:customStyle="1">
    <w:name w:val="ListLabel 193"/>
    <w:qFormat/>
    <w:rPr>
      <w:rFonts w:cs="Symbol"/>
    </w:rPr>
  </w:style>
  <w:style w:type="character" w:styleId="ListLabel194" w:customStyle="1">
    <w:name w:val="ListLabel 194"/>
    <w:qFormat/>
    <w:rPr>
      <w:rFonts w:cs="Courier New"/>
    </w:rPr>
  </w:style>
  <w:style w:type="character" w:styleId="ListLabel195" w:customStyle="1">
    <w:name w:val="ListLabel 195"/>
    <w:qFormat/>
    <w:rPr>
      <w:rFonts w:cs="Wingdings"/>
    </w:rPr>
  </w:style>
  <w:style w:type="character" w:styleId="ListLabel196" w:customStyle="1">
    <w:name w:val="ListLabel 196"/>
    <w:qFormat/>
    <w:rPr>
      <w:rFonts w:cs="Symbol"/>
      <w:b/>
      <w:color w:val="00000A"/>
    </w:rPr>
  </w:style>
  <w:style w:type="character" w:styleId="ListLabel197" w:customStyle="1">
    <w:name w:val="ListLabel 197"/>
    <w:qFormat/>
    <w:rPr>
      <w:rFonts w:cs="Courier New"/>
      <w:b w:val="false"/>
    </w:rPr>
  </w:style>
  <w:style w:type="character" w:styleId="ListLabel198" w:customStyle="1">
    <w:name w:val="ListLabel 198"/>
    <w:qFormat/>
    <w:rPr>
      <w:rFonts w:cs="Wingdings"/>
      <w:b/>
      <w:i w:val="false"/>
      <w:color w:val="00000A"/>
    </w:rPr>
  </w:style>
  <w:style w:type="character" w:styleId="ListLabel199" w:customStyle="1">
    <w:name w:val="ListLabel 199"/>
    <w:qFormat/>
    <w:rPr>
      <w:rFonts w:cs="Symbol"/>
      <w:b/>
    </w:rPr>
  </w:style>
  <w:style w:type="character" w:styleId="ListLabel200" w:customStyle="1">
    <w:name w:val="ListLabel 200"/>
    <w:qFormat/>
    <w:rPr>
      <w:rFonts w:cs="Symbol"/>
      <w:b/>
    </w:rPr>
  </w:style>
  <w:style w:type="character" w:styleId="ListLabel201" w:customStyle="1">
    <w:name w:val="ListLabel 201"/>
    <w:qFormat/>
    <w:rPr>
      <w:rFonts w:cs="Times New Roman"/>
    </w:rPr>
  </w:style>
  <w:style w:type="character" w:styleId="ListLabel202" w:customStyle="1">
    <w:name w:val="ListLabel 202"/>
    <w:qFormat/>
    <w:rPr>
      <w:rFonts w:cs="Times New Roman"/>
    </w:rPr>
  </w:style>
  <w:style w:type="character" w:styleId="ListLabel203" w:customStyle="1">
    <w:name w:val="ListLabel 203"/>
    <w:qFormat/>
    <w:rPr>
      <w:rFonts w:cs="Symbol"/>
    </w:rPr>
  </w:style>
  <w:style w:type="character" w:styleId="ListLabel204" w:customStyle="1">
    <w:name w:val="ListLabel 204"/>
    <w:qFormat/>
    <w:rPr>
      <w:rFonts w:cs="Courier New"/>
    </w:rPr>
  </w:style>
  <w:style w:type="character" w:styleId="ListLabel205" w:customStyle="1">
    <w:name w:val="ListLabel 205"/>
    <w:qFormat/>
    <w:rPr>
      <w:b/>
      <w:bCs/>
      <w:i w:val="false"/>
      <w:iCs/>
      <w:sz w:val="24"/>
      <w:szCs w:val="24"/>
    </w:rPr>
  </w:style>
  <w:style w:type="character" w:styleId="ListLabel206" w:customStyle="1">
    <w:name w:val="ListLabel 206"/>
    <w:qFormat/>
    <w:rPr>
      <w:b/>
      <w:i w:val="false"/>
      <w:color w:val="00000A"/>
    </w:rPr>
  </w:style>
  <w:style w:type="character" w:styleId="ListLabel207" w:customStyle="1">
    <w:name w:val="ListLabel 207"/>
    <w:qFormat/>
    <w:rPr>
      <w:b/>
      <w:color w:val="00000A"/>
    </w:rPr>
  </w:style>
  <w:style w:type="character" w:styleId="ListLabel208" w:customStyle="1">
    <w:name w:val="ListLabel 208"/>
    <w:qFormat/>
    <w:rPr>
      <w:b w:val="false"/>
    </w:rPr>
  </w:style>
  <w:style w:type="character" w:styleId="ListLabel209" w:customStyle="1">
    <w:name w:val="ListLabel 209"/>
    <w:qFormat/>
    <w:rPr>
      <w:b/>
      <w:i w:val="false"/>
      <w:color w:val="00000A"/>
    </w:rPr>
  </w:style>
  <w:style w:type="character" w:styleId="ListLabel210" w:customStyle="1">
    <w:name w:val="ListLabel 210"/>
    <w:qFormat/>
    <w:rPr>
      <w:b/>
    </w:rPr>
  </w:style>
  <w:style w:type="character" w:styleId="ListLabel211" w:customStyle="1">
    <w:name w:val="ListLabel 211"/>
    <w:qFormat/>
    <w:rPr>
      <w:rFonts w:cs="Symbol"/>
    </w:rPr>
  </w:style>
  <w:style w:type="character" w:styleId="ListLabel212" w:customStyle="1">
    <w:name w:val="ListLabel 212"/>
    <w:qFormat/>
    <w:rPr>
      <w:rFonts w:cs="Times New Roman"/>
    </w:rPr>
  </w:style>
  <w:style w:type="character" w:styleId="ListLabel213" w:customStyle="1">
    <w:name w:val="ListLabel 213"/>
    <w:qFormat/>
    <w:rPr>
      <w:rFonts w:cs="Wingdings"/>
    </w:rPr>
  </w:style>
  <w:style w:type="character" w:styleId="ListLabel214" w:customStyle="1">
    <w:name w:val="ListLabel 214"/>
    <w:qFormat/>
    <w:rPr>
      <w:rFonts w:cs="Symbol"/>
    </w:rPr>
  </w:style>
  <w:style w:type="character" w:styleId="ListLabel215" w:customStyle="1">
    <w:name w:val="ListLabel 215"/>
    <w:qFormat/>
    <w:rPr>
      <w:rFonts w:cs="Courier New"/>
    </w:rPr>
  </w:style>
  <w:style w:type="character" w:styleId="ListLabel216" w:customStyle="1">
    <w:name w:val="ListLabel 216"/>
    <w:qFormat/>
    <w:rPr>
      <w:rFonts w:cs="Wingdings"/>
    </w:rPr>
  </w:style>
  <w:style w:type="character" w:styleId="ListLabel217" w:customStyle="1">
    <w:name w:val="ListLabel 217"/>
    <w:qFormat/>
    <w:rPr>
      <w:rFonts w:cs="Symbol"/>
    </w:rPr>
  </w:style>
  <w:style w:type="character" w:styleId="ListLabel218" w:customStyle="1">
    <w:name w:val="ListLabel 218"/>
    <w:qFormat/>
    <w:rPr>
      <w:rFonts w:cs="Courier New"/>
    </w:rPr>
  </w:style>
  <w:style w:type="character" w:styleId="ListLabel219" w:customStyle="1">
    <w:name w:val="ListLabel 219"/>
    <w:qFormat/>
    <w:rPr>
      <w:rFonts w:cs="Wingdings"/>
    </w:rPr>
  </w:style>
  <w:style w:type="character" w:styleId="ListLabel220" w:customStyle="1">
    <w:name w:val="ListLabel 220"/>
    <w:qFormat/>
    <w:rPr>
      <w:rFonts w:cs="Symbol"/>
      <w:b/>
    </w:rPr>
  </w:style>
  <w:style w:type="character" w:styleId="ListLabel221" w:customStyle="1">
    <w:name w:val="ListLabel 221"/>
    <w:qFormat/>
    <w:rPr>
      <w:rFonts w:cs="Courier New"/>
    </w:rPr>
  </w:style>
  <w:style w:type="character" w:styleId="ListLabel222" w:customStyle="1">
    <w:name w:val="ListLabel 222"/>
    <w:qFormat/>
    <w:rPr>
      <w:rFonts w:cs="Wingdings"/>
    </w:rPr>
  </w:style>
  <w:style w:type="character" w:styleId="ListLabel223" w:customStyle="1">
    <w:name w:val="ListLabel 223"/>
    <w:qFormat/>
    <w:rPr>
      <w:rFonts w:cs="Symbol"/>
    </w:rPr>
  </w:style>
  <w:style w:type="character" w:styleId="ListLabel224" w:customStyle="1">
    <w:name w:val="ListLabel 224"/>
    <w:qFormat/>
    <w:rPr>
      <w:rFonts w:cs="Courier New"/>
    </w:rPr>
  </w:style>
  <w:style w:type="character" w:styleId="ListLabel225" w:customStyle="1">
    <w:name w:val="ListLabel 225"/>
    <w:qFormat/>
    <w:rPr>
      <w:rFonts w:cs="Wingdings"/>
    </w:rPr>
  </w:style>
  <w:style w:type="character" w:styleId="ListLabel226" w:customStyle="1">
    <w:name w:val="ListLabel 226"/>
    <w:qFormat/>
    <w:rPr>
      <w:rFonts w:cs="Symbol"/>
    </w:rPr>
  </w:style>
  <w:style w:type="character" w:styleId="ListLabel227" w:customStyle="1">
    <w:name w:val="ListLabel 227"/>
    <w:qFormat/>
    <w:rPr>
      <w:rFonts w:cs="Courier New"/>
    </w:rPr>
  </w:style>
  <w:style w:type="character" w:styleId="ListLabel228" w:customStyle="1">
    <w:name w:val="ListLabel 228"/>
    <w:qFormat/>
    <w:rPr>
      <w:rFonts w:cs="Wingdings"/>
    </w:rPr>
  </w:style>
  <w:style w:type="character" w:styleId="ListLabel229" w:customStyle="1">
    <w:name w:val="ListLabel 229"/>
    <w:qFormat/>
    <w:rPr>
      <w:rFonts w:cs="Symbol"/>
      <w:b/>
      <w:color w:val="00000A"/>
    </w:rPr>
  </w:style>
  <w:style w:type="character" w:styleId="ListLabel230" w:customStyle="1">
    <w:name w:val="ListLabel 230"/>
    <w:qFormat/>
    <w:rPr>
      <w:rFonts w:cs="Courier New"/>
      <w:b w:val="false"/>
    </w:rPr>
  </w:style>
  <w:style w:type="character" w:styleId="ListLabel231" w:customStyle="1">
    <w:name w:val="ListLabel 231"/>
    <w:qFormat/>
    <w:rPr>
      <w:rFonts w:cs="Wingdings"/>
      <w:b/>
      <w:i w:val="false"/>
      <w:color w:val="00000A"/>
    </w:rPr>
  </w:style>
  <w:style w:type="character" w:styleId="ListLabel232" w:customStyle="1">
    <w:name w:val="ListLabel 232"/>
    <w:qFormat/>
    <w:rPr>
      <w:rFonts w:cs="Symbol"/>
      <w:b/>
    </w:rPr>
  </w:style>
  <w:style w:type="character" w:styleId="ListLabel233" w:customStyle="1">
    <w:name w:val="ListLabel 233"/>
    <w:qFormat/>
    <w:rPr>
      <w:rFonts w:cs="Symbol"/>
      <w:b/>
    </w:rPr>
  </w:style>
  <w:style w:type="character" w:styleId="ListLabel234" w:customStyle="1">
    <w:name w:val="ListLabel 234"/>
    <w:qFormat/>
    <w:rPr>
      <w:rFonts w:cs="Times New Roman"/>
    </w:rPr>
  </w:style>
  <w:style w:type="character" w:styleId="ListLabel235" w:customStyle="1">
    <w:name w:val="ListLabel 235"/>
    <w:qFormat/>
    <w:rPr>
      <w:rFonts w:cs="Times New Roman"/>
    </w:rPr>
  </w:style>
  <w:style w:type="character" w:styleId="ListLabel236" w:customStyle="1">
    <w:name w:val="ListLabel 236"/>
    <w:qFormat/>
    <w:rPr>
      <w:rFonts w:cs="Symbol"/>
    </w:rPr>
  </w:style>
  <w:style w:type="character" w:styleId="ListLabel237" w:customStyle="1">
    <w:name w:val="ListLabel 237"/>
    <w:qFormat/>
    <w:rPr>
      <w:rFonts w:cs="Courier New"/>
    </w:rPr>
  </w:style>
  <w:style w:type="character" w:styleId="ListLabel238" w:customStyle="1">
    <w:name w:val="ListLabel 238"/>
    <w:qFormat/>
    <w:rPr>
      <w:b/>
      <w:bCs/>
      <w:i w:val="false"/>
      <w:iCs/>
      <w:sz w:val="24"/>
      <w:szCs w:val="24"/>
    </w:rPr>
  </w:style>
  <w:style w:type="character" w:styleId="ListLabel239" w:customStyle="1">
    <w:name w:val="ListLabel 239"/>
    <w:qFormat/>
    <w:rPr>
      <w:b/>
      <w:i w:val="false"/>
      <w:color w:val="00000A"/>
    </w:rPr>
  </w:style>
  <w:style w:type="character" w:styleId="ListLabel240" w:customStyle="1">
    <w:name w:val="ListLabel 240"/>
    <w:qFormat/>
    <w:rPr>
      <w:b/>
      <w:color w:val="00000A"/>
    </w:rPr>
  </w:style>
  <w:style w:type="character" w:styleId="ListLabel241" w:customStyle="1">
    <w:name w:val="ListLabel 241"/>
    <w:qFormat/>
    <w:rPr>
      <w:b w:val="false"/>
    </w:rPr>
  </w:style>
  <w:style w:type="character" w:styleId="ListLabel242" w:customStyle="1">
    <w:name w:val="ListLabel 242"/>
    <w:qFormat/>
    <w:rPr>
      <w:b/>
      <w:i w:val="false"/>
      <w:color w:val="00000A"/>
    </w:rPr>
  </w:style>
  <w:style w:type="character" w:styleId="ListLabel243" w:customStyle="1">
    <w:name w:val="ListLabel 243"/>
    <w:qFormat/>
    <w:rPr>
      <w:b/>
    </w:rPr>
  </w:style>
  <w:style w:type="character" w:styleId="ListLabel244" w:customStyle="1">
    <w:name w:val="ListLabel 244"/>
    <w:qFormat/>
    <w:rPr>
      <w:rFonts w:cs="Symbol"/>
    </w:rPr>
  </w:style>
  <w:style w:type="character" w:styleId="ListLabel245" w:customStyle="1">
    <w:name w:val="ListLabel 245"/>
    <w:qFormat/>
    <w:rPr>
      <w:rFonts w:cs="Times New Roman"/>
    </w:rPr>
  </w:style>
  <w:style w:type="character" w:styleId="ListLabel246" w:customStyle="1">
    <w:name w:val="ListLabel 246"/>
    <w:qFormat/>
    <w:rPr>
      <w:rFonts w:cs="Wingdings"/>
    </w:rPr>
  </w:style>
  <w:style w:type="character" w:styleId="ListLabel247" w:customStyle="1">
    <w:name w:val="ListLabel 247"/>
    <w:qFormat/>
    <w:rPr>
      <w:rFonts w:cs="Symbol"/>
    </w:rPr>
  </w:style>
  <w:style w:type="character" w:styleId="ListLabel248" w:customStyle="1">
    <w:name w:val="ListLabel 248"/>
    <w:qFormat/>
    <w:rPr>
      <w:rFonts w:cs="Courier New"/>
    </w:rPr>
  </w:style>
  <w:style w:type="character" w:styleId="ListLabel249" w:customStyle="1">
    <w:name w:val="ListLabel 249"/>
    <w:qFormat/>
    <w:rPr>
      <w:rFonts w:cs="Wingdings"/>
    </w:rPr>
  </w:style>
  <w:style w:type="character" w:styleId="ListLabel250" w:customStyle="1">
    <w:name w:val="ListLabel 250"/>
    <w:qFormat/>
    <w:rPr>
      <w:rFonts w:cs="Symbol"/>
    </w:rPr>
  </w:style>
  <w:style w:type="character" w:styleId="ListLabel251" w:customStyle="1">
    <w:name w:val="ListLabel 251"/>
    <w:qFormat/>
    <w:rPr>
      <w:rFonts w:cs="Courier New"/>
    </w:rPr>
  </w:style>
  <w:style w:type="character" w:styleId="ListLabel252" w:customStyle="1">
    <w:name w:val="ListLabel 252"/>
    <w:qFormat/>
    <w:rPr>
      <w:rFonts w:cs="Wingdings"/>
    </w:rPr>
  </w:style>
  <w:style w:type="character" w:styleId="ListLabel253" w:customStyle="1">
    <w:name w:val="ListLabel 253"/>
    <w:qFormat/>
    <w:rPr>
      <w:rFonts w:cs="Symbol"/>
      <w:b/>
    </w:rPr>
  </w:style>
  <w:style w:type="character" w:styleId="ListLabel254" w:customStyle="1">
    <w:name w:val="ListLabel 254"/>
    <w:qFormat/>
    <w:rPr>
      <w:rFonts w:cs="Courier New"/>
    </w:rPr>
  </w:style>
  <w:style w:type="character" w:styleId="ListLabel255" w:customStyle="1">
    <w:name w:val="ListLabel 255"/>
    <w:qFormat/>
    <w:rPr>
      <w:rFonts w:cs="Wingdings"/>
    </w:rPr>
  </w:style>
  <w:style w:type="character" w:styleId="ListLabel256" w:customStyle="1">
    <w:name w:val="ListLabel 256"/>
    <w:qFormat/>
    <w:rPr>
      <w:rFonts w:cs="Symbol"/>
    </w:rPr>
  </w:style>
  <w:style w:type="character" w:styleId="ListLabel257" w:customStyle="1">
    <w:name w:val="ListLabel 257"/>
    <w:qFormat/>
    <w:rPr>
      <w:rFonts w:cs="Courier New"/>
    </w:rPr>
  </w:style>
  <w:style w:type="character" w:styleId="ListLabel258" w:customStyle="1">
    <w:name w:val="ListLabel 258"/>
    <w:qFormat/>
    <w:rPr>
      <w:rFonts w:cs="Wingdings"/>
    </w:rPr>
  </w:style>
  <w:style w:type="character" w:styleId="ListLabel259" w:customStyle="1">
    <w:name w:val="ListLabel 259"/>
    <w:qFormat/>
    <w:rPr>
      <w:rFonts w:cs="Symbol"/>
    </w:rPr>
  </w:style>
  <w:style w:type="character" w:styleId="ListLabel260" w:customStyle="1">
    <w:name w:val="ListLabel 260"/>
    <w:qFormat/>
    <w:rPr>
      <w:rFonts w:cs="Courier New"/>
    </w:rPr>
  </w:style>
  <w:style w:type="character" w:styleId="ListLabel261" w:customStyle="1">
    <w:name w:val="ListLabel 261"/>
    <w:qFormat/>
    <w:rPr>
      <w:rFonts w:cs="Wingdings"/>
    </w:rPr>
  </w:style>
  <w:style w:type="character" w:styleId="ListLabel262" w:customStyle="1">
    <w:name w:val="ListLabel 262"/>
    <w:qFormat/>
    <w:rPr>
      <w:rFonts w:cs="Symbol"/>
      <w:b/>
      <w:color w:val="00000A"/>
    </w:rPr>
  </w:style>
  <w:style w:type="character" w:styleId="ListLabel263" w:customStyle="1">
    <w:name w:val="ListLabel 263"/>
    <w:qFormat/>
    <w:rPr>
      <w:rFonts w:cs="Courier New"/>
      <w:b w:val="false"/>
    </w:rPr>
  </w:style>
  <w:style w:type="character" w:styleId="ListLabel264" w:customStyle="1">
    <w:name w:val="ListLabel 264"/>
    <w:qFormat/>
    <w:rPr>
      <w:rFonts w:cs="Wingdings"/>
      <w:b/>
      <w:i w:val="false"/>
      <w:color w:val="00000A"/>
    </w:rPr>
  </w:style>
  <w:style w:type="character" w:styleId="ListLabel265" w:customStyle="1">
    <w:name w:val="ListLabel 265"/>
    <w:qFormat/>
    <w:rPr>
      <w:rFonts w:cs="Symbol"/>
      <w:b/>
    </w:rPr>
  </w:style>
  <w:style w:type="character" w:styleId="ListLabel266" w:customStyle="1">
    <w:name w:val="ListLabel 266"/>
    <w:qFormat/>
    <w:rPr>
      <w:rFonts w:cs="Symbol"/>
      <w:b/>
    </w:rPr>
  </w:style>
  <w:style w:type="character" w:styleId="ListLabel267" w:customStyle="1">
    <w:name w:val="ListLabel 267"/>
    <w:qFormat/>
    <w:rPr>
      <w:rFonts w:cs="Times New Roman"/>
    </w:rPr>
  </w:style>
  <w:style w:type="character" w:styleId="ListLabel268" w:customStyle="1">
    <w:name w:val="ListLabel 268"/>
    <w:qFormat/>
    <w:rPr>
      <w:rFonts w:cs="Times New Roman"/>
    </w:rPr>
  </w:style>
  <w:style w:type="character" w:styleId="ListLabel269" w:customStyle="1">
    <w:name w:val="ListLabel 269"/>
    <w:qFormat/>
    <w:rPr>
      <w:rFonts w:cs="Symbol"/>
    </w:rPr>
  </w:style>
  <w:style w:type="character" w:styleId="ListLabel270" w:customStyle="1">
    <w:name w:val="ListLabel 270"/>
    <w:qFormat/>
    <w:rPr>
      <w:rFonts w:cs="Courier New"/>
    </w:rPr>
  </w:style>
  <w:style w:type="character" w:styleId="ListLabel271">
    <w:name w:val="ListLabel 271"/>
    <w:qFormat/>
    <w:rPr>
      <w:b/>
      <w:bCs/>
      <w:i w:val="false"/>
      <w:iCs/>
      <w:sz w:val="24"/>
      <w:szCs w:val="24"/>
    </w:rPr>
  </w:style>
  <w:style w:type="character" w:styleId="ListLabel272">
    <w:name w:val="ListLabel 272"/>
    <w:qFormat/>
    <w:rPr>
      <w:b/>
      <w:i w:val="false"/>
      <w:color w:val="00000A"/>
    </w:rPr>
  </w:style>
  <w:style w:type="character" w:styleId="ListLabel273">
    <w:name w:val="ListLabel 273"/>
    <w:qFormat/>
    <w:rPr>
      <w:b/>
      <w:color w:val="00000A"/>
    </w:rPr>
  </w:style>
  <w:style w:type="character" w:styleId="ListLabel274">
    <w:name w:val="ListLabel 274"/>
    <w:qFormat/>
    <w:rPr>
      <w:b w:val="false"/>
    </w:rPr>
  </w:style>
  <w:style w:type="character" w:styleId="ListLabel275">
    <w:name w:val="ListLabel 275"/>
    <w:qFormat/>
    <w:rPr>
      <w:b/>
      <w:i w:val="false"/>
      <w:color w:val="00000A"/>
    </w:rPr>
  </w:style>
  <w:style w:type="character" w:styleId="ListLabel276">
    <w:name w:val="ListLabel 276"/>
    <w:qFormat/>
    <w:rPr>
      <w:b/>
    </w:rPr>
  </w:style>
  <w:style w:type="character" w:styleId="ListLabel277">
    <w:name w:val="ListLabel 277"/>
    <w:qFormat/>
    <w:rPr>
      <w:rFonts w:cs="Symbol"/>
    </w:rPr>
  </w:style>
  <w:style w:type="character" w:styleId="ListLabel278">
    <w:name w:val="ListLabel 278"/>
    <w:qFormat/>
    <w:rPr>
      <w:rFonts w:cs="Times New Roman"/>
    </w:rPr>
  </w:style>
  <w:style w:type="character" w:styleId="ListLabel279">
    <w:name w:val="ListLabel 279"/>
    <w:qFormat/>
    <w:rPr>
      <w:rFonts w:cs="Wingdings"/>
    </w:rPr>
  </w:style>
  <w:style w:type="character" w:styleId="ListLabel280">
    <w:name w:val="ListLabel 280"/>
    <w:qFormat/>
    <w:rPr>
      <w:rFonts w:cs="Symbol"/>
    </w:rPr>
  </w:style>
  <w:style w:type="character" w:styleId="ListLabel281">
    <w:name w:val="ListLabel 281"/>
    <w:qFormat/>
    <w:rPr>
      <w:rFonts w:cs="Courier New"/>
    </w:rPr>
  </w:style>
  <w:style w:type="character" w:styleId="ListLabel282">
    <w:name w:val="ListLabel 282"/>
    <w:qFormat/>
    <w:rPr>
      <w:rFonts w:cs="Wingdings"/>
    </w:rPr>
  </w:style>
  <w:style w:type="character" w:styleId="ListLabel283">
    <w:name w:val="ListLabel 283"/>
    <w:qFormat/>
    <w:rPr>
      <w:rFonts w:cs="Symbol"/>
    </w:rPr>
  </w:style>
  <w:style w:type="character" w:styleId="ListLabel284">
    <w:name w:val="ListLabel 284"/>
    <w:qFormat/>
    <w:rPr>
      <w:rFonts w:cs="Courier New"/>
    </w:rPr>
  </w:style>
  <w:style w:type="character" w:styleId="ListLabel285">
    <w:name w:val="ListLabel 285"/>
    <w:qFormat/>
    <w:rPr>
      <w:rFonts w:cs="Wingdings"/>
    </w:rPr>
  </w:style>
  <w:style w:type="character" w:styleId="ListLabel286">
    <w:name w:val="ListLabel 286"/>
    <w:qFormat/>
    <w:rPr>
      <w:rFonts w:cs="Symbol"/>
      <w:b/>
    </w:rPr>
  </w:style>
  <w:style w:type="character" w:styleId="ListLabel287">
    <w:name w:val="ListLabel 287"/>
    <w:qFormat/>
    <w:rPr>
      <w:rFonts w:cs="Courier New"/>
    </w:rPr>
  </w:style>
  <w:style w:type="character" w:styleId="ListLabel288">
    <w:name w:val="ListLabel 288"/>
    <w:qFormat/>
    <w:rPr>
      <w:rFonts w:cs="Wingdings"/>
    </w:rPr>
  </w:style>
  <w:style w:type="character" w:styleId="ListLabel289">
    <w:name w:val="ListLabel 289"/>
    <w:qFormat/>
    <w:rPr>
      <w:rFonts w:cs="Symbol"/>
    </w:rPr>
  </w:style>
  <w:style w:type="character" w:styleId="ListLabel290">
    <w:name w:val="ListLabel 290"/>
    <w:qFormat/>
    <w:rPr>
      <w:rFonts w:cs="Courier New"/>
    </w:rPr>
  </w:style>
  <w:style w:type="character" w:styleId="ListLabel291">
    <w:name w:val="ListLabel 291"/>
    <w:qFormat/>
    <w:rPr>
      <w:rFonts w:cs="Wingdings"/>
    </w:rPr>
  </w:style>
  <w:style w:type="character" w:styleId="ListLabel292">
    <w:name w:val="ListLabel 292"/>
    <w:qFormat/>
    <w:rPr>
      <w:rFonts w:cs="Symbol"/>
    </w:rPr>
  </w:style>
  <w:style w:type="character" w:styleId="ListLabel293">
    <w:name w:val="ListLabel 293"/>
    <w:qFormat/>
    <w:rPr>
      <w:rFonts w:cs="Courier New"/>
    </w:rPr>
  </w:style>
  <w:style w:type="character" w:styleId="ListLabel294">
    <w:name w:val="ListLabel 294"/>
    <w:qFormat/>
    <w:rPr>
      <w:rFonts w:cs="Wingdings"/>
    </w:rPr>
  </w:style>
  <w:style w:type="character" w:styleId="ListLabel295">
    <w:name w:val="ListLabel 295"/>
    <w:qFormat/>
    <w:rPr>
      <w:rFonts w:cs="Symbol"/>
      <w:b/>
      <w:color w:val="00000A"/>
    </w:rPr>
  </w:style>
  <w:style w:type="character" w:styleId="ListLabel296">
    <w:name w:val="ListLabel 296"/>
    <w:qFormat/>
    <w:rPr>
      <w:rFonts w:cs="Courier New"/>
      <w:b w:val="false"/>
    </w:rPr>
  </w:style>
  <w:style w:type="character" w:styleId="ListLabel297">
    <w:name w:val="ListLabel 297"/>
    <w:qFormat/>
    <w:rPr>
      <w:rFonts w:cs="Wingdings"/>
      <w:b/>
      <w:i w:val="false"/>
      <w:color w:val="00000A"/>
    </w:rPr>
  </w:style>
  <w:style w:type="character" w:styleId="ListLabel298">
    <w:name w:val="ListLabel 298"/>
    <w:qFormat/>
    <w:rPr>
      <w:rFonts w:cs="Symbol"/>
      <w:b/>
    </w:rPr>
  </w:style>
  <w:style w:type="character" w:styleId="ListLabel299">
    <w:name w:val="ListLabel 299"/>
    <w:qFormat/>
    <w:rPr>
      <w:rFonts w:cs="Symbol"/>
      <w:b/>
    </w:rPr>
  </w:style>
  <w:style w:type="character" w:styleId="ListLabel300">
    <w:name w:val="ListLabel 300"/>
    <w:qFormat/>
    <w:rPr>
      <w:rFonts w:cs="Times New Roman"/>
    </w:rPr>
  </w:style>
  <w:style w:type="character" w:styleId="ListLabel301">
    <w:name w:val="ListLabel 301"/>
    <w:qFormat/>
    <w:rPr>
      <w:rFonts w:cs="Times New Roman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Courier New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7">
    <w:name w:val="Body Text"/>
    <w:basedOn w:val="Normal"/>
    <w:rsid w:val="0076353a"/>
    <w:pPr>
      <w:spacing w:before="0" w:after="120"/>
    </w:pPr>
    <w:rPr/>
  </w:style>
  <w:style w:type="paragraph" w:styleId="Style28">
    <w:name w:val="List"/>
    <w:basedOn w:val="Style27"/>
    <w:pPr/>
    <w:rPr>
      <w:rFonts w:cs="Lohit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Lohit Devanagari"/>
    </w:rPr>
  </w:style>
  <w:style w:type="paragraph" w:styleId="Style31">
    <w:name w:val="Title"/>
    <w:basedOn w:val="Normal"/>
    <w:qFormat/>
    <w:pPr>
      <w:keepNext w:val="true"/>
      <w:spacing w:before="240" w:after="120"/>
    </w:pPr>
    <w:rPr>
      <w:rFonts w:ascii="Liberation Sans" w:hAnsi="Liberation Sans" w:eastAsia="WenQuanYi Zen Hei Sharp" w:cs="Lohit Devanagari"/>
    </w:rPr>
  </w:style>
  <w:style w:type="paragraph" w:styleId="Caption">
    <w:name w:val="caption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32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3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34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uiPriority w:val="99"/>
    <w:qFormat/>
    <w:rsid w:val="00d561d9"/>
    <w:pPr/>
    <w:rPr>
      <w:sz w:val="20"/>
      <w:szCs w:val="20"/>
    </w:rPr>
  </w:style>
  <w:style w:type="paragraph" w:styleId="14" w:customStyle="1">
    <w:name w:val="Шапка 1"/>
    <w:basedOn w:val="Normal"/>
    <w:link w:val="affb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11" w:customStyle="1">
    <w:name w:val="Заголовок 2 Знак1"/>
    <w:basedOn w:val="Normal"/>
    <w:link w:val="2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link w:val="32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5">
    <w:name w:val="Header"/>
    <w:basedOn w:val="Normal"/>
    <w:uiPriority w:val="99"/>
    <w:rsid w:val="0076353a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yle36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Style37">
    <w:name w:val="Footer"/>
    <w:basedOn w:val="Normal"/>
    <w:uiPriority w:val="99"/>
    <w:rsid w:val="0076353a"/>
    <w:pPr>
      <w:tabs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7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38" w:customStyle="1">
    <w:name w:val="Подпункт"/>
    <w:basedOn w:val="Normal"/>
    <w:link w:val="14"/>
    <w:qFormat/>
    <w:rsid w:val="0076353a"/>
    <w:pPr>
      <w:tabs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8"/>
    <w:qFormat/>
    <w:rsid w:val="0076353a"/>
    <w:pPr>
      <w:keepNext w:val="true"/>
      <w:tabs>
        <w:tab w:val="left" w:pos="1134" w:leader="none"/>
      </w:tabs>
      <w:suppressAutoHyphens w:val="true"/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35">
    <w:name w:val="TOC 3"/>
    <w:basedOn w:val="Normal"/>
    <w:link w:val="36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39" w:customStyle="1">
    <w:name w:val="Раздел регламента"/>
    <w:basedOn w:val="Normal"/>
    <w:qFormat/>
    <w:rsid w:val="00e228fa"/>
    <w:pPr/>
    <w:rPr/>
  </w:style>
  <w:style w:type="paragraph" w:styleId="Style40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5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92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1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tyle42">
    <w:name w:val="Subtitle"/>
    <w:basedOn w:val="Normal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TOCHeading">
    <w:name w:val="TOC Heading"/>
    <w:basedOn w:val="1"/>
    <w:uiPriority w:val="39"/>
    <w:qFormat/>
    <w:rsid w:val="00d22f6d"/>
    <w:pPr>
      <w:keepLines/>
      <w:spacing w:before="480" w:after="60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43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 w:val="24"/>
      <w:szCs w:val="20"/>
    </w:rPr>
  </w:style>
  <w:style w:type="paragraph" w:styleId="411" w:customStyle="1">
    <w:name w:val="Маркированный список 41"/>
    <w:basedOn w:val="Normal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link w:val="23"/>
    <w:qFormat/>
    <w:rsid w:val="00d22f6d"/>
    <w:p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bidi w:val="0"/>
      <w:jc w:val="left"/>
    </w:pPr>
    <w:rPr>
      <w:rFonts w:eastAsia="Calibri" w:ascii="Times New Roman" w:hAnsi="Times New Roman" w:cs="Times New Roman"/>
      <w:color w:val="00000A"/>
      <w:sz w:val="24"/>
      <w:szCs w:val="24"/>
      <w:lang w:val="ru-RU" w:eastAsia="ru-RU" w:bidi="ar-SA"/>
    </w:rPr>
  </w:style>
  <w:style w:type="paragraph" w:styleId="ConsPlusNormal1" w:customStyle="1">
    <w:name w:val="ConsPlusNormal"/>
    <w:qFormat/>
    <w:rsid w:val="00d22f6d"/>
    <w:pPr>
      <w:widowControl w:val="false"/>
      <w:bidi w:val="0"/>
      <w:ind w:firstLine="720"/>
      <w:jc w:val="left"/>
    </w:pPr>
    <w:rPr>
      <w:rFonts w:ascii="Arial" w:hAnsi="Arial" w:cs="Arial" w:eastAsia="Times New Roman"/>
      <w:color w:val="00000A"/>
      <w:sz w:val="28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4" w:customStyle="1">
    <w:name w:val="Пункт"/>
    <w:basedOn w:val="Normal"/>
    <w:qFormat/>
    <w:rsid w:val="00d22f6d"/>
    <w:pPr>
      <w:widowControl w:val="false"/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5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46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7" w:customStyle="1">
    <w:name w:val="Подподпункт"/>
    <w:basedOn w:val="Style38"/>
    <w:qFormat/>
    <w:rsid w:val="0025139e"/>
    <w:pPr>
      <w:tabs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8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Style49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link w:val="27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8" w:customStyle="1">
    <w:name w:val="УРОВЕНЬ_Абзац_тип3"/>
    <w:basedOn w:val="ListParagraph"/>
    <w:link w:val="3a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50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1"/>
    <w:qFormat/>
    <w:rsid w:val="005773b2"/>
    <w:pPr>
      <w:keepLines/>
      <w:tabs>
        <w:tab w:val="left" w:pos="567" w:leader="none"/>
      </w:tabs>
      <w:suppressAutoHyphens w:val="true"/>
      <w:spacing w:before="480" w:after="240"/>
      <w:ind w:left="567" w:hanging="567"/>
    </w:pPr>
    <w:rPr>
      <w:rFonts w:ascii="Arial" w:hAnsi="Arial" w:eastAsia="Times New Roman"/>
      <w:bCs/>
      <w:sz w:val="40"/>
      <w:szCs w:val="20"/>
      <w:lang w:eastAsia="ru-RU"/>
    </w:rPr>
  </w:style>
  <w:style w:type="paragraph" w:styleId="Endnotetext">
    <w:name w:val="endnote text"/>
    <w:basedOn w:val="Normal"/>
    <w:qFormat/>
    <w:rsid w:val="003879d4"/>
    <w:pPr/>
    <w:rPr>
      <w:sz w:val="20"/>
      <w:szCs w:val="20"/>
    </w:rPr>
  </w:style>
  <w:style w:type="paragraph" w:styleId="29" w:customStyle="1">
    <w:name w:val="Заголовок 2 КВВ"/>
    <w:basedOn w:val="Normal"/>
    <w:qFormat/>
    <w:rsid w:val="00cb35e8"/>
    <w:pPr>
      <w:keepNext w:val="true"/>
      <w:suppressAutoHyphens w:val="true"/>
      <w:spacing w:before="120" w:after="120"/>
      <w:jc w:val="both"/>
      <w:outlineLvl w:val="0"/>
    </w:pPr>
    <w:rPr>
      <w:b/>
      <w:sz w:val="24"/>
      <w:szCs w:val="20"/>
      <w:lang w:eastAsia="x-none"/>
    </w:rPr>
  </w:style>
  <w:style w:type="paragraph" w:styleId="Style51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ConsPlusTitle" w:customStyle="1">
    <w:name w:val="ConsPlusTitle"/>
    <w:qFormat/>
    <w:rsid w:val="0038536b"/>
    <w:pPr>
      <w:widowControl w:val="false"/>
      <w:bidi w:val="0"/>
      <w:jc w:val="left"/>
    </w:pPr>
    <w:rPr>
      <w:rFonts w:ascii="Calibri" w:hAnsi="Calibri" w:cs="Calibri" w:eastAsia="Times New Roman"/>
      <w:b/>
      <w:color w:val="00000A"/>
      <w:sz w:val="22"/>
      <w:szCs w:val="20"/>
      <w:lang w:val="ru-RU" w:eastAsia="ru-RU" w:bidi="ar-SA"/>
    </w:rPr>
  </w:style>
  <w:style w:type="paragraph" w:styleId="ListNumber">
    <w:name w:val="List Number"/>
    <w:basedOn w:val="Normal"/>
    <w:semiHidden/>
    <w:unhideWhenUsed/>
    <w:qFormat/>
    <w:rsid w:val="000a107a"/>
    <w:pPr>
      <w:spacing w:lineRule="auto" w:line="360" w:before="60" w:after="0"/>
      <w:jc w:val="both"/>
    </w:pPr>
    <w:rPr/>
  </w:style>
  <w:style w:type="paragraph" w:styleId="Style52" w:customStyle="1">
    <w:name w:val="Обычный+ без отступа"/>
    <w:basedOn w:val="Normal"/>
    <w:qFormat/>
    <w:rsid w:val="006f3ea6"/>
    <w:pPr>
      <w:spacing w:lineRule="auto" w:line="360" w:before="120" w:after="0"/>
      <w:jc w:val="both"/>
    </w:pPr>
    <w:rPr>
      <w:rFonts w:eastAsia="MS Mincho"/>
    </w:rPr>
  </w:style>
  <w:style w:type="paragraph" w:styleId="Style53" w:customStyle="1">
    <w:name w:val="Текст таблицы"/>
    <w:basedOn w:val="Normal"/>
    <w:qFormat/>
    <w:rsid w:val="006f3ea6"/>
    <w:pPr>
      <w:spacing w:before="40" w:after="40"/>
      <w:ind w:left="57" w:right="57" w:hanging="0"/>
    </w:pPr>
    <w:rPr>
      <w:sz w:val="24"/>
      <w:szCs w:val="24"/>
    </w:rPr>
  </w:style>
  <w:style w:type="paragraph" w:styleId="Style54" w:customStyle="1">
    <w:name w:val="Пункт Знак"/>
    <w:basedOn w:val="Normal"/>
    <w:qFormat/>
    <w:rsid w:val="006f3ea6"/>
    <w:pPr>
      <w:tabs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55" w:customStyle="1">
    <w:name w:val="Подподподпункт"/>
    <w:basedOn w:val="Normal"/>
    <w:qFormat/>
    <w:rsid w:val="006f3ea6"/>
    <w:pPr>
      <w:tabs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12" w:customStyle="1">
    <w:name w:val="Пункт1"/>
    <w:basedOn w:val="Normal"/>
    <w:qFormat/>
    <w:rsid w:val="006f3ea6"/>
    <w:pPr>
      <w:tabs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39" w:customStyle="1">
    <w:name w:val="Пункт_3"/>
    <w:basedOn w:val="Normal"/>
    <w:uiPriority w:val="99"/>
    <w:qFormat/>
    <w:rsid w:val="006f3ea6"/>
    <w:pPr>
      <w:tabs>
        <w:tab w:val="left" w:pos="1134" w:leader="none"/>
      </w:tabs>
      <w:spacing w:lineRule="auto" w:line="360"/>
      <w:ind w:left="1134" w:hanging="1133"/>
      <w:jc w:val="both"/>
    </w:pPr>
    <w:rPr>
      <w:szCs w:val="20"/>
    </w:rPr>
  </w:style>
  <w:style w:type="paragraph" w:styleId="DocumentMap">
    <w:name w:val="Document Map"/>
    <w:basedOn w:val="Normal"/>
    <w:uiPriority w:val="99"/>
    <w:semiHidden/>
    <w:unhideWhenUsed/>
    <w:qFormat/>
    <w:rsid w:val="006f3ea6"/>
    <w:pPr/>
    <w:rPr>
      <w:rFonts w:ascii="Tahoma" w:hAnsi="Tahoma" w:cs="Tahoma"/>
      <w:sz w:val="16"/>
      <w:szCs w:val="16"/>
    </w:rPr>
  </w:style>
  <w:style w:type="paragraph" w:styleId="Style56" w:customStyle="1">
    <w:name w:val="Знак Знак"/>
    <w:basedOn w:val="Normal"/>
    <w:qFormat/>
    <w:rsid w:val="006f3ea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3" w:customStyle="1">
    <w:name w:val="УРОВЕНЬ_1.1."/>
    <w:basedOn w:val="ListParagraph"/>
    <w:qFormat/>
    <w:rsid w:val="006f3ea6"/>
    <w:pPr>
      <w:keepNext w:val="true"/>
      <w:tabs>
        <w:tab w:val="left" w:pos="1844" w:leader="none"/>
      </w:tabs>
      <w:spacing w:lineRule="exact" w:line="360" w:before="240" w:after="0"/>
      <w:ind w:left="1844" w:hanging="567"/>
      <w:contextualSpacing/>
      <w:jc w:val="both"/>
      <w:outlineLvl w:val="1"/>
    </w:pPr>
    <w:rPr>
      <w:b/>
      <w:sz w:val="26"/>
      <w:szCs w:val="28"/>
      <w:lang w:eastAsia="en-US"/>
    </w:rPr>
  </w:style>
  <w:style w:type="paragraph" w:styleId="1112" w:customStyle="1">
    <w:name w:val="УРОВЕНЬ_1.1.1."/>
    <w:basedOn w:val="ListParagraph"/>
    <w:qFormat/>
    <w:rsid w:val="006f3ea6"/>
    <w:pPr>
      <w:spacing w:lineRule="exact" w:line="360" w:before="120" w:after="0"/>
      <w:ind w:left="1134" w:hanging="1134"/>
      <w:contextualSpacing/>
      <w:jc w:val="both"/>
      <w:outlineLvl w:val="2"/>
    </w:pPr>
    <w:rPr>
      <w:sz w:val="26"/>
      <w:szCs w:val="28"/>
      <w:lang w:eastAsia="en-US"/>
    </w:rPr>
  </w:style>
  <w:style w:type="paragraph" w:styleId="114" w:customStyle="1">
    <w:name w:val="УРОВЕНЬ_Абзац_тип1"/>
    <w:basedOn w:val="ListParagraph"/>
    <w:qFormat/>
    <w:rsid w:val="006f3ea6"/>
    <w:pPr>
      <w:tabs>
        <w:tab w:val="left" w:pos="2592" w:leader="none"/>
      </w:tabs>
      <w:spacing w:lineRule="exact" w:line="360" w:before="120" w:after="0"/>
      <w:ind w:left="2592" w:hanging="1152"/>
      <w:contextualSpacing/>
      <w:jc w:val="both"/>
    </w:pPr>
    <w:rPr>
      <w:sz w:val="26"/>
      <w:szCs w:val="28"/>
      <w:lang w:eastAsia="en-US"/>
    </w:rPr>
  </w:style>
  <w:style w:type="paragraph" w:styleId="310" w:customStyle="1">
    <w:name w:val="Список мн 3"/>
    <w:basedOn w:val="Style36"/>
    <w:uiPriority w:val="99"/>
    <w:qFormat/>
    <w:rsid w:val="006f3ea6"/>
    <w:pPr>
      <w:shd w:val="clear" w:color="auto" w:fill="FFFFFF"/>
      <w:tabs>
        <w:tab w:val="left" w:pos="1341" w:leader="none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paragraph" w:styleId="Style81" w:customStyle="1">
    <w:name w:val="Style8"/>
    <w:basedOn w:val="Normal"/>
    <w:qFormat/>
    <w:rsid w:val="003939a2"/>
    <w:pPr>
      <w:widowControl w:val="false"/>
      <w:spacing w:lineRule="exact" w:line="298"/>
      <w:jc w:val="both"/>
    </w:pPr>
    <w:rPr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115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fe">
    <w:name w:val="Table Grid"/>
    <w:basedOn w:val="a1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e">
    <w:name w:val="Сетка таблицы1"/>
    <w:basedOn w:val="a1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image" Target="media/image1.png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5FBAE0-4DD5-41DC-BA59-5DC85FD9D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LibreOffice/5.3.6.1$Linux_X86_64 LibreOffice_project/30$Build-1</Application>
  <Pages>16</Pages>
  <Words>3513</Words>
  <Characters>25132</Characters>
  <CharactersWithSpaces>28224</CharactersWithSpaces>
  <Paragraphs>409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2023-10-25T00:35:00Z</dcterms:created>
  <dc:creator>Быстров Олег Геннадьевич</dc:creator>
  <dc:description/>
  <dc:language>ru-RU</dc:language>
  <cp:lastModifiedBy/>
  <cp:lastPrinted>2023-06-28T04:13:00Z</cp:lastPrinted>
  <dcterms:modified xsi:type="dcterms:W3CDTF">2024-02-07T08:32:15Z</dcterms:modified>
  <cp:revision>16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